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jc w:val="center"/>
        <w:textAlignment w:val="auto"/>
        <w:outlineLvl w:val="9"/>
        <w:rPr>
          <w:rFonts w:hint="eastAsia" w:ascii="方正小标宋_GBK" w:hAnsi="方正小标宋_GBK" w:eastAsia="方正小标宋_GBK" w:cs="方正小标宋_GBK"/>
          <w:b/>
          <w:bCs/>
          <w:sz w:val="36"/>
          <w:szCs w:val="44"/>
          <w:lang w:eastAsia="zh-CN"/>
        </w:rPr>
      </w:pPr>
      <w:r>
        <w:rPr>
          <w:rFonts w:hint="eastAsia" w:ascii="方正小标宋_GBK" w:hAnsi="方正小标宋_GBK" w:eastAsia="方正小标宋_GBK" w:cs="方正小标宋_GBK"/>
          <w:b/>
          <w:bCs/>
          <w:sz w:val="36"/>
          <w:szCs w:val="44"/>
          <w:lang w:eastAsia="zh-CN"/>
        </w:rPr>
        <w:t>关于开展“习语金句·闪Star百人诵读”活动的通知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color w:val="000000"/>
          <w:sz w:val="32"/>
          <w:szCs w:val="32"/>
        </w:rPr>
        <w:t>各</w:t>
      </w:r>
      <w:r>
        <w:rPr>
          <w:rFonts w:hint="eastAsia" w:ascii="仿宋" w:hAnsi="仿宋" w:eastAsia="仿宋" w:cs="仿宋"/>
          <w:sz w:val="32"/>
          <w:szCs w:val="32"/>
          <w:lang w:eastAsia="zh-CN"/>
        </w:rPr>
        <w:t>学院</w:t>
      </w:r>
      <w:r>
        <w:rPr>
          <w:rFonts w:hint="eastAsia" w:ascii="仿宋" w:hAnsi="仿宋" w:eastAsia="仿宋" w:cs="仿宋"/>
          <w:sz w:val="32"/>
          <w:szCs w:val="32"/>
          <w:lang w:val="en-US" w:eastAsia="zh-CN"/>
        </w:rPr>
        <w:t>团委（总支）</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为深入贯彻党的十九大精神和习近平新时代中国特色社会主义思想，更好地引导广大青年特别是高校学生传承中华优秀传统文化，弘扬社会主义核心价值观，</w:t>
      </w:r>
      <w:r>
        <w:rPr>
          <w:rFonts w:hint="eastAsia" w:ascii="仿宋" w:hAnsi="仿宋" w:eastAsia="仿宋" w:cs="仿宋"/>
          <w:sz w:val="32"/>
          <w:szCs w:val="32"/>
          <w:lang w:val="en-US" w:eastAsia="zh-CN"/>
        </w:rPr>
        <w:t>推动习近平新时代中国特色社会主义思想在广大青年中入耳入心入脑，营造校内学习习总书记系列讲话学习氛围，经校团委研究，报校党委批准，决定在全校范围内启动“习语金句·闪Star百人诵读”活动。本次活动由校团委主办，马克思主义学院承办，面向校内选拔热爱朗诵的优秀青年参与诵读系列活动。现将活动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一、参与对象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我校全日制在籍本科生、研究生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习语金句·闪Star百人诵读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三、诵读内容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选自人民日报社《习近平用典》一书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活动安排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1.报名推荐阶段（2018年11月5日—11月8日）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Style w:val="5"/>
          <w:rFonts w:hint="eastAsia" w:ascii="仿宋" w:hAnsi="仿宋" w:eastAsia="仿宋" w:cs="仿宋"/>
          <w:color w:val="auto"/>
          <w:sz w:val="32"/>
          <w:szCs w:val="32"/>
          <w:u w:val="none"/>
          <w:lang w:val="en-US" w:eastAsia="zh-CN"/>
        </w:rPr>
      </w:pPr>
      <w:r>
        <w:rPr>
          <w:rFonts w:hint="eastAsia" w:ascii="仿宋" w:hAnsi="仿宋" w:eastAsia="仿宋" w:cs="仿宋"/>
          <w:sz w:val="32"/>
          <w:szCs w:val="32"/>
          <w:lang w:val="en-US" w:eastAsia="zh-CN"/>
        </w:rPr>
        <w:t>以学院为单位报名，</w:t>
      </w:r>
      <w:r>
        <w:rPr>
          <w:rFonts w:hint="eastAsia" w:ascii="仿宋" w:hAnsi="仿宋" w:eastAsia="仿宋" w:cs="仿宋"/>
          <w:b/>
          <w:bCs/>
          <w:sz w:val="32"/>
          <w:szCs w:val="32"/>
          <w:lang w:val="en-US" w:eastAsia="zh-CN"/>
        </w:rPr>
        <w:t>每单位推荐5人</w:t>
      </w:r>
      <w:r>
        <w:rPr>
          <w:rFonts w:hint="eastAsia" w:ascii="仿宋" w:hAnsi="仿宋" w:eastAsia="仿宋" w:cs="仿宋"/>
          <w:sz w:val="32"/>
          <w:szCs w:val="32"/>
          <w:lang w:val="en-US" w:eastAsia="zh-CN"/>
        </w:rPr>
        <w:t>参与“习语金句·闪Star百人诵读”活动启动仪式暨导读课，指定不少于1名学生参与网络接力诵读，参与者要求热爱朗诵、普通话发音标准，有朗诵基础者优先，于</w:t>
      </w:r>
      <w:r>
        <w:rPr>
          <w:rFonts w:hint="eastAsia" w:ascii="仿宋" w:hAnsi="仿宋" w:eastAsia="仿宋" w:cs="仿宋"/>
          <w:b/>
          <w:bCs/>
          <w:sz w:val="32"/>
          <w:szCs w:val="32"/>
          <w:lang w:val="en-US" w:eastAsia="zh-CN"/>
        </w:rPr>
        <w:t>11月8日（星期四）12:00</w:t>
      </w:r>
      <w:r>
        <w:rPr>
          <w:rFonts w:hint="eastAsia" w:ascii="仿宋" w:hAnsi="仿宋" w:eastAsia="仿宋" w:cs="仿宋"/>
          <w:sz w:val="32"/>
          <w:szCs w:val="32"/>
          <w:lang w:val="en-US" w:eastAsia="zh-CN"/>
        </w:rPr>
        <w:t>将报名表电子版发到邮箱：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"mailto:并将推荐同学名单汇总成表（附件一）发送至马克思主义学院团委邮箱mytw@snnu.edu.cn；"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mytw@snnu.edu.cn，</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2.启动暨导读阶段（2018年11月8日—13日）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32"/>
          <w:lang w:val="en-US" w:eastAsia="zh-CN"/>
        </w:rPr>
        <w:t>开展“习语金句·闪Star百人诵读活动启动仪式暨《习近平用典》导读课”，邀请马克思主义学院专家学者进行《习近平用典》导读分享，要求</w:t>
      </w:r>
      <w:r>
        <w:rPr>
          <w:rFonts w:hint="eastAsia" w:ascii="仿宋" w:hAnsi="仿宋" w:eastAsia="仿宋" w:cs="仿宋"/>
          <w:sz w:val="32"/>
          <w:szCs w:val="40"/>
          <w:lang w:val="en-US" w:eastAsia="zh-CN"/>
        </w:rPr>
        <w:t>各学院</w:t>
      </w:r>
      <w:r>
        <w:rPr>
          <w:rFonts w:hint="eastAsia" w:ascii="仿宋" w:hAnsi="仿宋" w:eastAsia="仿宋" w:cs="仿宋"/>
          <w:sz w:val="32"/>
          <w:szCs w:val="32"/>
          <w:lang w:val="en-US" w:eastAsia="zh-CN"/>
        </w:rPr>
        <w:t>推荐的5名学生参会。</w:t>
      </w:r>
      <w:r>
        <w:rPr>
          <w:rFonts w:hint="eastAsia" w:ascii="仿宋" w:hAnsi="仿宋" w:eastAsia="仿宋" w:cs="仿宋"/>
          <w:sz w:val="32"/>
          <w:szCs w:val="40"/>
          <w:lang w:val="en-US" w:eastAsia="zh-CN"/>
        </w:rPr>
        <w:t>期间，进行线下百人诵读并进行拍摄录制。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启动仪式暨《习近平用典》导读课安排如下：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bCs/>
          <w:sz w:val="32"/>
          <w:szCs w:val="40"/>
          <w:lang w:val="en-US" w:eastAsia="zh-CN"/>
        </w:rPr>
      </w:pPr>
      <w:r>
        <w:rPr>
          <w:rFonts w:hint="eastAsia" w:ascii="仿宋" w:hAnsi="仿宋" w:eastAsia="仿宋" w:cs="仿宋"/>
          <w:b/>
          <w:bCs/>
          <w:sz w:val="32"/>
          <w:szCs w:val="32"/>
          <w:lang w:val="en-US" w:eastAsia="zh-CN"/>
        </w:rPr>
        <w:t>时间：</w:t>
      </w:r>
      <w:r>
        <w:rPr>
          <w:rFonts w:hint="eastAsia" w:ascii="仿宋" w:hAnsi="仿宋" w:eastAsia="仿宋" w:cs="仿宋"/>
          <w:b/>
          <w:bCs/>
          <w:sz w:val="32"/>
          <w:szCs w:val="40"/>
          <w:lang w:val="en-US" w:eastAsia="zh-CN"/>
        </w:rPr>
        <w:t xml:space="preserve">11月9日14:30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地点：长安校区教育博物馆主楼学术报告厅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主讲人：马克思主义学院 张帆副教授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讲座题目：在形式与内容的统一中认识真理的力量———读《习近平用典》有感</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3.网络诵读阶段（2018年11月13日-2018年12月）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学校开设“</w:t>
      </w:r>
      <w:r>
        <w:rPr>
          <w:rFonts w:hint="eastAsia" w:ascii="仿宋" w:hAnsi="仿宋" w:eastAsia="仿宋" w:cs="仿宋"/>
          <w:sz w:val="32"/>
          <w:szCs w:val="32"/>
          <w:lang w:val="en-US" w:eastAsia="zh-CN"/>
        </w:rPr>
        <w:t>初心诵：习语金句·闪Star百人诵读</w:t>
      </w:r>
      <w:r>
        <w:rPr>
          <w:rFonts w:hint="eastAsia" w:ascii="仿宋" w:hAnsi="仿宋" w:eastAsia="仿宋" w:cs="仿宋"/>
          <w:sz w:val="32"/>
          <w:szCs w:val="40"/>
          <w:lang w:val="en-US" w:eastAsia="zh-CN"/>
        </w:rPr>
        <w:t>”网络专栏，组织各学院学生</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初心诵：习语金句·闪Star百人诵读”</w:t>
      </w:r>
      <w:r>
        <w:rPr>
          <w:rFonts w:hint="eastAsia" w:ascii="仿宋" w:hAnsi="仿宋" w:eastAsia="仿宋" w:cs="仿宋"/>
          <w:sz w:val="32"/>
          <w:szCs w:val="40"/>
          <w:lang w:val="en-US" w:eastAsia="zh-CN"/>
        </w:rPr>
        <w:t>网络接力诵读，录制音频，并通过校团委、马克思主义学院团委推送，择优推荐至校官微及校外媒体，营造网络氛围。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4.总结提升阶段（2018年12月-2019年1月）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各学院可通过集中观看</w:t>
      </w:r>
      <w:r>
        <w:rPr>
          <w:rFonts w:hint="eastAsia" w:ascii="仿宋" w:hAnsi="仿宋" w:eastAsia="仿宋" w:cs="仿宋"/>
          <w:sz w:val="32"/>
          <w:szCs w:val="32"/>
          <w:lang w:val="en-US" w:eastAsia="zh-CN"/>
        </w:rPr>
        <w:t>央视《平“语”近人——习近平总书记用典》栏目、开展《习近平用典》读书分享会等形式进行学习，并召开学习总结会议。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1.本次活动采取网络与现场诵读会相结合的形式，后期活动情况各学院需积极进行关注宣传。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w:t>
      </w:r>
      <w:r>
        <w:rPr>
          <w:rFonts w:hint="eastAsia" w:ascii="仿宋_GB2312" w:hAnsi="仿宋_GB2312" w:eastAsia="仿宋_GB2312" w:cs="仿宋_GB2312"/>
          <w:b/>
          <w:bCs/>
          <w:color w:val="000000"/>
          <w:sz w:val="32"/>
          <w:szCs w:val="32"/>
          <w:lang w:eastAsia="zh-CN"/>
        </w:rPr>
        <w:t>凡是参与的学生均可获得组委会颁发的纪念证书。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sz w:val="32"/>
          <w:szCs w:val="40"/>
          <w:u w:val="none"/>
          <w:lang w:eastAsia="zh-CN"/>
        </w:rPr>
      </w:pPr>
      <w:r>
        <w:rPr>
          <w:rFonts w:hint="eastAsia" w:ascii="仿宋" w:hAnsi="仿宋" w:eastAsia="仿宋" w:cs="仿宋"/>
          <w:sz w:val="32"/>
          <w:szCs w:val="32"/>
          <w:lang w:val="en-US" w:eastAsia="zh-CN"/>
        </w:rPr>
        <w:t>1.</w:t>
      </w:r>
      <w:r>
        <w:rPr>
          <w:rStyle w:val="5"/>
          <w:rFonts w:hint="eastAsia" w:ascii="仿宋_GB2312" w:hAnsi="仿宋_GB2312" w:eastAsia="仿宋_GB2312" w:cs="仿宋_GB2312"/>
          <w:b w:val="0"/>
          <w:bCs w:val="0"/>
          <w:color w:val="auto"/>
          <w:sz w:val="32"/>
          <w:szCs w:val="40"/>
          <w:u w:val="none"/>
          <w:lang w:val="en-US" w:eastAsia="zh-CN"/>
        </w:rPr>
        <w:t>“</w:t>
      </w:r>
      <w:r>
        <w:rPr>
          <w:rFonts w:hint="eastAsia" w:ascii="仿宋_GB2312" w:hAnsi="仿宋_GB2312" w:eastAsia="仿宋_GB2312" w:cs="仿宋_GB2312"/>
          <w:b w:val="0"/>
          <w:bCs w:val="0"/>
          <w:color w:val="auto"/>
          <w:sz w:val="32"/>
          <w:szCs w:val="40"/>
          <w:u w:val="none"/>
          <w:lang w:eastAsia="zh-CN"/>
        </w:rPr>
        <w:fldChar w:fldCharType="begin"/>
      </w:r>
      <w:r>
        <w:rPr>
          <w:rFonts w:hint="eastAsia" w:ascii="仿宋_GB2312" w:hAnsi="仿宋_GB2312" w:eastAsia="仿宋_GB2312" w:cs="仿宋_GB2312"/>
          <w:b w:val="0"/>
          <w:bCs w:val="0"/>
          <w:color w:val="auto"/>
          <w:sz w:val="32"/>
          <w:szCs w:val="40"/>
          <w:u w:val="none"/>
          <w:lang w:eastAsia="zh-CN"/>
        </w:rPr>
        <w:instrText xml:space="preserve"> HYPERLINK "习语金句报名表.docx" </w:instrText>
      </w:r>
      <w:r>
        <w:rPr>
          <w:rFonts w:hint="eastAsia" w:ascii="仿宋_GB2312" w:hAnsi="仿宋_GB2312" w:eastAsia="仿宋_GB2312" w:cs="仿宋_GB2312"/>
          <w:b w:val="0"/>
          <w:bCs w:val="0"/>
          <w:color w:val="auto"/>
          <w:sz w:val="32"/>
          <w:szCs w:val="40"/>
          <w:u w:val="none"/>
          <w:lang w:eastAsia="zh-CN"/>
        </w:rPr>
        <w:fldChar w:fldCharType="separate"/>
      </w:r>
      <w:r>
        <w:rPr>
          <w:rStyle w:val="5"/>
          <w:rFonts w:hint="eastAsia" w:ascii="仿宋_GB2312" w:hAnsi="仿宋_GB2312" w:eastAsia="仿宋_GB2312" w:cs="仿宋_GB2312"/>
          <w:b w:val="0"/>
          <w:bCs w:val="0"/>
          <w:color w:val="auto"/>
          <w:sz w:val="32"/>
          <w:szCs w:val="40"/>
          <w:u w:val="none"/>
          <w:lang w:eastAsia="zh-CN"/>
        </w:rPr>
        <w:t>习语金句·闪</w:t>
      </w:r>
      <w:r>
        <w:rPr>
          <w:rStyle w:val="5"/>
          <w:rFonts w:hint="eastAsia" w:ascii="仿宋_GB2312" w:hAnsi="仿宋_GB2312" w:eastAsia="仿宋_GB2312" w:cs="仿宋_GB2312"/>
          <w:b w:val="0"/>
          <w:bCs w:val="0"/>
          <w:color w:val="auto"/>
          <w:sz w:val="32"/>
          <w:szCs w:val="40"/>
          <w:u w:val="none"/>
          <w:lang w:val="en-US" w:eastAsia="zh-CN"/>
        </w:rPr>
        <w:t>Star</w:t>
      </w:r>
      <w:r>
        <w:rPr>
          <w:rStyle w:val="5"/>
          <w:rFonts w:hint="eastAsia" w:ascii="仿宋_GB2312" w:hAnsi="仿宋_GB2312" w:eastAsia="仿宋_GB2312" w:cs="仿宋_GB2312"/>
          <w:b w:val="0"/>
          <w:bCs w:val="0"/>
          <w:color w:val="auto"/>
          <w:sz w:val="32"/>
          <w:szCs w:val="40"/>
          <w:u w:val="none"/>
          <w:lang w:eastAsia="zh-CN"/>
        </w:rPr>
        <w:t>百人诵读”报名</w:t>
      </w:r>
      <w:r>
        <w:rPr>
          <w:rStyle w:val="5"/>
          <w:rFonts w:hint="eastAsia" w:ascii="仿宋_GB2312" w:hAnsi="仿宋_GB2312" w:eastAsia="仿宋_GB2312" w:cs="仿宋_GB2312"/>
          <w:b w:val="0"/>
          <w:bCs w:val="0"/>
          <w:color w:val="auto"/>
          <w:sz w:val="32"/>
          <w:szCs w:val="40"/>
          <w:u w:val="none"/>
          <w:lang w:val="en-US" w:eastAsia="zh-CN"/>
        </w:rPr>
        <w:t>汇总表</w:t>
      </w:r>
      <w:r>
        <w:rPr>
          <w:rFonts w:hint="eastAsia" w:ascii="仿宋_GB2312" w:hAnsi="仿宋_GB2312" w:eastAsia="仿宋_GB2312" w:cs="仿宋_GB2312"/>
          <w:b w:val="0"/>
          <w:bCs w:val="0"/>
          <w:color w:val="auto"/>
          <w:sz w:val="32"/>
          <w:szCs w:val="40"/>
          <w:u w:val="none"/>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2.“习语金句·闪Star百人诵读系列活动”诵读篇目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Style w:val="5"/>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lang w:val="en-US" w:eastAsia="zh-CN"/>
        </w:rPr>
        <w:t xml:space="preserve">                                     </w:t>
      </w:r>
      <w:r>
        <w:rPr>
          <w:rFonts w:hint="eastAsia" w:ascii="仿宋_GB2312" w:hAnsi="仿宋_GB2312" w:eastAsia="仿宋_GB2312" w:cs="仿宋_GB2312"/>
          <w:b w:val="0"/>
          <w:bCs w:val="0"/>
          <w:sz w:val="32"/>
          <w:szCs w:val="40"/>
          <w:lang w:eastAsia="zh-CN"/>
        </w:rPr>
        <w:t>校团委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lang w:eastAsia="zh-CN"/>
        </w:rPr>
        <w:t>马克思主义学院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2018年11月7日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outlineLvl w:val="9"/>
        <w:rPr>
          <w:rFonts w:hint="eastAsia" w:ascii="仿宋_GB2312" w:hAnsi="仿宋_GB2312" w:eastAsia="仿宋_GB2312" w:cs="仿宋_GB2312"/>
          <w:b w:val="0"/>
          <w:bCs w:val="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val="0"/>
          <w:bCs w:val="0"/>
          <w:sz w:val="32"/>
          <w:szCs w:val="40"/>
          <w:lang w:val="en-US" w:eastAsia="zh-CN"/>
        </w:rPr>
        <w:sectPr>
          <w:pgSz w:w="11906" w:h="16838"/>
          <w:pgMar w:top="1440" w:right="1800" w:bottom="1440" w:left="1800" w:header="720" w:footer="720" w:gutter="0"/>
          <w:cols w:space="720" w:num="1"/>
          <w:docGrid w:linePitch="36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val="0"/>
          <w:bCs w:val="0"/>
          <w:color w:val="auto"/>
          <w:sz w:val="32"/>
          <w:szCs w:val="40"/>
          <w:u w:val="none"/>
          <w:lang w:val="en-US" w:eastAsia="zh-CN"/>
        </w:rPr>
      </w:pPr>
      <w:r>
        <w:rPr>
          <w:rFonts w:hint="eastAsia" w:ascii="仿宋_GB2312" w:hAnsi="仿宋_GB2312" w:eastAsia="仿宋_GB2312" w:cs="仿宋_GB2312"/>
          <w:b w:val="0"/>
          <w:bCs w:val="0"/>
          <w:color w:val="auto"/>
          <w:sz w:val="32"/>
          <w:szCs w:val="40"/>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方正小标宋_GBK" w:hAnsi="方正小标宋_GBK" w:eastAsia="方正小标宋_GBK" w:cs="方正小标宋_GBK"/>
          <w:b w:val="0"/>
          <w:bCs w:val="0"/>
          <w:color w:val="auto"/>
          <w:sz w:val="32"/>
          <w:szCs w:val="40"/>
          <w:u w:val="none"/>
          <w:lang w:eastAsia="zh-CN"/>
        </w:rPr>
      </w:pPr>
      <w:r>
        <w:rPr>
          <w:rStyle w:val="5"/>
          <w:rFonts w:hint="eastAsia" w:ascii="方正小标宋_GBK" w:hAnsi="方正小标宋_GBK" w:eastAsia="方正小标宋_GBK" w:cs="方正小标宋_GBK"/>
          <w:b/>
          <w:bCs/>
          <w:color w:val="auto"/>
          <w:sz w:val="36"/>
          <w:szCs w:val="36"/>
          <w:u w:val="single"/>
          <w:lang w:val="en-US" w:eastAsia="zh-CN"/>
        </w:rPr>
        <w:t xml:space="preserve">              </w:t>
      </w:r>
      <w:r>
        <w:rPr>
          <w:rStyle w:val="5"/>
          <w:rFonts w:hint="eastAsia" w:ascii="方正小标宋_GBK" w:hAnsi="方正小标宋_GBK" w:eastAsia="方正小标宋_GBK" w:cs="方正小标宋_GBK"/>
          <w:b/>
          <w:bCs/>
          <w:color w:val="auto"/>
          <w:sz w:val="36"/>
          <w:szCs w:val="36"/>
          <w:u w:val="none"/>
          <w:lang w:val="en-US" w:eastAsia="zh-CN"/>
        </w:rPr>
        <w:t>学院“</w:t>
      </w:r>
      <w:r>
        <w:rPr>
          <w:rFonts w:hint="eastAsia" w:ascii="方正小标宋_GBK" w:hAnsi="方正小标宋_GBK" w:eastAsia="方正小标宋_GBK" w:cs="方正小标宋_GBK"/>
          <w:b/>
          <w:bCs/>
          <w:color w:val="auto"/>
          <w:sz w:val="36"/>
          <w:szCs w:val="36"/>
          <w:u w:val="none"/>
          <w:lang w:eastAsia="zh-CN"/>
        </w:rPr>
        <w:fldChar w:fldCharType="begin"/>
      </w:r>
      <w:r>
        <w:rPr>
          <w:rFonts w:hint="eastAsia" w:ascii="方正小标宋_GBK" w:hAnsi="方正小标宋_GBK" w:eastAsia="方正小标宋_GBK" w:cs="方正小标宋_GBK"/>
          <w:b/>
          <w:bCs/>
          <w:color w:val="auto"/>
          <w:sz w:val="36"/>
          <w:szCs w:val="36"/>
          <w:u w:val="none"/>
          <w:lang w:eastAsia="zh-CN"/>
        </w:rPr>
        <w:instrText xml:space="preserve"> HYPERLINK "习语金句报名表.docx" </w:instrText>
      </w:r>
      <w:r>
        <w:rPr>
          <w:rFonts w:hint="eastAsia" w:ascii="方正小标宋_GBK" w:hAnsi="方正小标宋_GBK" w:eastAsia="方正小标宋_GBK" w:cs="方正小标宋_GBK"/>
          <w:b/>
          <w:bCs/>
          <w:color w:val="auto"/>
          <w:sz w:val="36"/>
          <w:szCs w:val="36"/>
          <w:u w:val="none"/>
          <w:lang w:eastAsia="zh-CN"/>
        </w:rPr>
        <w:fldChar w:fldCharType="separate"/>
      </w:r>
      <w:r>
        <w:rPr>
          <w:rStyle w:val="5"/>
          <w:rFonts w:hint="eastAsia" w:ascii="方正小标宋_GBK" w:hAnsi="方正小标宋_GBK" w:eastAsia="方正小标宋_GBK" w:cs="方正小标宋_GBK"/>
          <w:b/>
          <w:bCs/>
          <w:color w:val="auto"/>
          <w:sz w:val="36"/>
          <w:szCs w:val="36"/>
          <w:u w:val="none"/>
          <w:lang w:eastAsia="zh-CN"/>
        </w:rPr>
        <w:t>习语金句·闪</w:t>
      </w:r>
      <w:r>
        <w:rPr>
          <w:rStyle w:val="5"/>
          <w:rFonts w:hint="eastAsia" w:ascii="方正小标宋_GBK" w:hAnsi="方正小标宋_GBK" w:eastAsia="方正小标宋_GBK" w:cs="方正小标宋_GBK"/>
          <w:b/>
          <w:bCs/>
          <w:color w:val="auto"/>
          <w:sz w:val="36"/>
          <w:szCs w:val="36"/>
          <w:u w:val="none"/>
          <w:lang w:val="en-US" w:eastAsia="zh-CN"/>
        </w:rPr>
        <w:t>Star</w:t>
      </w:r>
      <w:r>
        <w:rPr>
          <w:rStyle w:val="5"/>
          <w:rFonts w:hint="eastAsia" w:ascii="方正小标宋_GBK" w:hAnsi="方正小标宋_GBK" w:eastAsia="方正小标宋_GBK" w:cs="方正小标宋_GBK"/>
          <w:b/>
          <w:bCs/>
          <w:color w:val="auto"/>
          <w:sz w:val="36"/>
          <w:szCs w:val="36"/>
          <w:u w:val="none"/>
          <w:lang w:eastAsia="zh-CN"/>
        </w:rPr>
        <w:t>百人诵读”报名</w:t>
      </w:r>
      <w:r>
        <w:rPr>
          <w:rStyle w:val="5"/>
          <w:rFonts w:hint="eastAsia" w:ascii="方正小标宋_GBK" w:hAnsi="方正小标宋_GBK" w:eastAsia="方正小标宋_GBK" w:cs="方正小标宋_GBK"/>
          <w:b/>
          <w:bCs/>
          <w:color w:val="auto"/>
          <w:sz w:val="36"/>
          <w:szCs w:val="36"/>
          <w:u w:val="none"/>
          <w:lang w:val="en-US" w:eastAsia="zh-CN"/>
        </w:rPr>
        <w:t>汇总表</w:t>
      </w:r>
      <w:r>
        <w:rPr>
          <w:rFonts w:hint="eastAsia" w:ascii="方正小标宋_GBK" w:hAnsi="方正小标宋_GBK" w:eastAsia="方正小标宋_GBK" w:cs="方正小标宋_GBK"/>
          <w:b/>
          <w:bCs/>
          <w:color w:val="auto"/>
          <w:sz w:val="36"/>
          <w:szCs w:val="36"/>
          <w:u w:val="none"/>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outlineLvl w:val="9"/>
        <w:rPr>
          <w:rStyle w:val="5"/>
          <w:rFonts w:hint="eastAsia" w:ascii="仿宋_GB2312" w:hAnsi="仿宋_GB2312" w:eastAsia="仿宋_GB2312" w:cs="仿宋_GB2312"/>
          <w:b/>
          <w:bCs/>
          <w:color w:val="auto"/>
          <w:sz w:val="28"/>
          <w:szCs w:val="28"/>
          <w:u w:val="none"/>
          <w:lang w:val="en-US" w:eastAsia="zh-CN"/>
        </w:rPr>
      </w:pPr>
      <w:r>
        <w:rPr>
          <w:rStyle w:val="5"/>
          <w:rFonts w:hint="eastAsia" w:ascii="仿宋_GB2312" w:hAnsi="仿宋_GB2312" w:eastAsia="仿宋_GB2312" w:cs="仿宋_GB2312"/>
          <w:b/>
          <w:bCs/>
          <w:color w:val="auto"/>
          <w:sz w:val="28"/>
          <w:szCs w:val="28"/>
          <w:u w:val="none"/>
          <w:lang w:val="en-US" w:eastAsia="zh-CN"/>
        </w:rPr>
        <w:t>填报单位（签章）：                      联系人：                       联系电话：</w:t>
      </w:r>
    </w:p>
    <w:tbl>
      <w:tblPr>
        <w:tblStyle w:val="7"/>
        <w:tblW w:w="14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025"/>
        <w:gridCol w:w="2115"/>
        <w:gridCol w:w="1650"/>
        <w:gridCol w:w="2917"/>
        <w:gridCol w:w="2015"/>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序号</w:t>
            </w:r>
          </w:p>
        </w:tc>
        <w:tc>
          <w:tcPr>
            <w:tcW w:w="2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lang w:eastAsia="zh-CN"/>
              </w:rPr>
              <w:t>姓名</w:t>
            </w:r>
          </w:p>
        </w:tc>
        <w:tc>
          <w:tcPr>
            <w:tcW w:w="21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学号</w:t>
            </w:r>
          </w:p>
        </w:tc>
        <w:tc>
          <w:tcPr>
            <w:tcW w:w="16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性别</w:t>
            </w:r>
          </w:p>
        </w:tc>
        <w:tc>
          <w:tcPr>
            <w:tcW w:w="291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联系电话</w:t>
            </w:r>
          </w:p>
        </w:tc>
        <w:tc>
          <w:tcPr>
            <w:tcW w:w="201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QQ号</w:t>
            </w:r>
          </w:p>
        </w:tc>
        <w:tc>
          <w:tcPr>
            <w:tcW w:w="265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1</w:t>
            </w:r>
          </w:p>
        </w:tc>
        <w:tc>
          <w:tcPr>
            <w:tcW w:w="2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9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658"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是否参加网络接力诵读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r>
              <w:rPr>
                <w:rFonts w:hint="default" w:ascii="Arial" w:hAnsi="Arial" w:eastAsia="仿宋_GB2312" w:cs="Arial"/>
                <w:b w:val="0"/>
                <w:bCs w:val="0"/>
                <w:color w:val="auto"/>
                <w:sz w:val="28"/>
                <w:szCs w:val="36"/>
                <w:u w:val="none"/>
                <w:vertAlign w:val="baseline"/>
                <w:lang w:val="en-US" w:eastAsia="zh-CN"/>
              </w:rPr>
              <w:t>□</w:t>
            </w:r>
            <w:r>
              <w:rPr>
                <w:rFonts w:hint="eastAsia" w:ascii="仿宋_GB2312" w:hAnsi="仿宋_GB2312" w:eastAsia="仿宋_GB2312" w:cs="仿宋_GB2312"/>
                <w:b w:val="0"/>
                <w:bCs w:val="0"/>
                <w:color w:val="auto"/>
                <w:sz w:val="24"/>
                <w:szCs w:val="32"/>
                <w:u w:val="none"/>
                <w:vertAlign w:val="baseline"/>
                <w:lang w:val="en-US" w:eastAsia="zh-CN"/>
              </w:rPr>
              <w:t xml:space="preserve">是  </w:t>
            </w:r>
            <w:r>
              <w:rPr>
                <w:rFonts w:hint="default" w:ascii="Arial" w:hAnsi="Arial" w:eastAsia="仿宋_GB2312" w:cs="Arial"/>
                <w:b w:val="0"/>
                <w:bCs w:val="0"/>
                <w:color w:val="auto"/>
                <w:sz w:val="28"/>
                <w:szCs w:val="36"/>
                <w:u w:val="none"/>
                <w:vertAlign w:val="baseline"/>
                <w:lang w:val="en-US" w:eastAsia="zh-CN"/>
              </w:rPr>
              <w:t>□</w:t>
            </w:r>
            <w:r>
              <w:rPr>
                <w:rFonts w:hint="eastAsia" w:ascii="仿宋_GB2312" w:hAnsi="仿宋_GB2312" w:eastAsia="仿宋_GB2312" w:cs="仿宋_GB2312"/>
                <w:b w:val="0"/>
                <w:bCs w:val="0"/>
                <w:color w:val="auto"/>
                <w:sz w:val="24"/>
                <w:szCs w:val="32"/>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2</w:t>
            </w:r>
          </w:p>
        </w:tc>
        <w:tc>
          <w:tcPr>
            <w:tcW w:w="2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9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658"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是否参加网络接力诵读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3</w:t>
            </w:r>
          </w:p>
        </w:tc>
        <w:tc>
          <w:tcPr>
            <w:tcW w:w="2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9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658"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是否参加网络接力诵读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4</w:t>
            </w:r>
          </w:p>
        </w:tc>
        <w:tc>
          <w:tcPr>
            <w:tcW w:w="2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9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658"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是否参加网络接力诵读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32"/>
                <w:szCs w:val="40"/>
                <w:u w:val="none"/>
                <w:vertAlign w:val="baseline"/>
                <w:lang w:val="en-US" w:eastAsia="zh-CN"/>
              </w:rPr>
              <w:t>5</w:t>
            </w:r>
          </w:p>
        </w:tc>
        <w:tc>
          <w:tcPr>
            <w:tcW w:w="202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1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16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91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01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p>
        </w:tc>
        <w:tc>
          <w:tcPr>
            <w:tcW w:w="2658" w:type="dxa"/>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color w:val="auto"/>
                <w:sz w:val="24"/>
                <w:szCs w:val="32"/>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是否参加网络接力诵读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val="0"/>
                <w:bCs w:val="0"/>
                <w:color w:val="auto"/>
                <w:sz w:val="32"/>
                <w:szCs w:val="40"/>
                <w:u w:val="none"/>
                <w:vertAlign w:val="baseline"/>
                <w:lang w:val="en-US" w:eastAsia="zh-CN"/>
              </w:rPr>
            </w:pPr>
            <w:r>
              <w:rPr>
                <w:rFonts w:hint="eastAsia" w:ascii="仿宋_GB2312" w:hAnsi="仿宋_GB2312" w:eastAsia="仿宋_GB2312" w:cs="仿宋_GB2312"/>
                <w:b w:val="0"/>
                <w:bCs w:val="0"/>
                <w:color w:val="auto"/>
                <w:sz w:val="24"/>
                <w:szCs w:val="32"/>
                <w:u w:val="none"/>
                <w:vertAlign w:val="baseline"/>
                <w:lang w:val="en-US" w:eastAsia="zh-CN"/>
              </w:rPr>
              <w:t>□是  □否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楷体" w:hAnsi="楷体" w:eastAsia="楷体" w:cs="楷体"/>
          <w:b w:val="0"/>
          <w:bCs w:val="0"/>
          <w:color w:val="auto"/>
          <w:sz w:val="28"/>
          <w:szCs w:val="36"/>
          <w:u w:val="none"/>
          <w:lang w:val="en-US" w:eastAsia="zh-CN"/>
        </w:rPr>
      </w:pPr>
      <w:r>
        <w:rPr>
          <w:rFonts w:hint="eastAsia" w:ascii="楷体" w:hAnsi="楷体" w:eastAsia="楷体" w:cs="楷体"/>
          <w:b w:val="0"/>
          <w:bCs w:val="0"/>
          <w:color w:val="auto"/>
          <w:sz w:val="28"/>
          <w:szCs w:val="36"/>
          <w:u w:val="none"/>
          <w:lang w:val="en-US" w:eastAsia="zh-CN"/>
        </w:rPr>
        <w:t>注：请各学院指定不少于1名学生参与网络接力诵读，参与网络接力诵读学生要求热爱朗诵、普通话发音标准，有朗诵基础者优先。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仿宋_GB2312" w:hAnsi="仿宋_GB2312" w:eastAsia="仿宋_GB2312" w:cs="仿宋_GB2312"/>
          <w:b w:val="0"/>
          <w:bCs w:val="0"/>
          <w:color w:val="auto"/>
          <w:sz w:val="32"/>
          <w:szCs w:val="40"/>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outlineLvl w:val="9"/>
        <w:rPr>
          <w:rFonts w:hint="eastAsia" w:ascii="仿宋_GB2312" w:hAnsi="仿宋_GB2312" w:eastAsia="仿宋_GB2312" w:cs="仿宋_GB2312"/>
          <w:b w:val="0"/>
          <w:bCs w:val="0"/>
          <w:color w:val="auto"/>
          <w:sz w:val="32"/>
          <w:szCs w:val="40"/>
          <w:u w:val="none"/>
          <w:lang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val="0"/>
          <w:bCs w:val="0"/>
          <w:color w:val="auto"/>
          <w:sz w:val="32"/>
          <w:szCs w:val="40"/>
          <w:u w:val="none"/>
          <w:lang w:val="en-US" w:eastAsia="zh-CN"/>
        </w:rPr>
      </w:pPr>
      <w:r>
        <w:rPr>
          <w:rFonts w:hint="eastAsia" w:ascii="仿宋_GB2312" w:hAnsi="仿宋_GB2312" w:eastAsia="仿宋_GB2312" w:cs="仿宋_GB2312"/>
          <w:b w:val="0"/>
          <w:bCs w:val="0"/>
          <w:color w:val="auto"/>
          <w:sz w:val="32"/>
          <w:szCs w:val="40"/>
          <w:u w:val="none"/>
          <w:lang w:eastAsia="zh-CN"/>
        </w:rPr>
        <w:t>附件</w:t>
      </w:r>
      <w:r>
        <w:rPr>
          <w:rFonts w:hint="eastAsia" w:ascii="仿宋_GB2312" w:hAnsi="仿宋_GB2312" w:eastAsia="仿宋_GB2312" w:cs="仿宋_GB2312"/>
          <w:b w:val="0"/>
          <w:bCs w:val="0"/>
          <w:color w:val="auto"/>
          <w:sz w:val="32"/>
          <w:szCs w:val="40"/>
          <w:u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jc w:val="center"/>
        <w:textAlignment w:val="auto"/>
        <w:outlineLvl w:val="9"/>
        <w:rPr>
          <w:rFonts w:hint="eastAsia" w:ascii="方正小标宋_GBK" w:hAnsi="方正小标宋_GBK" w:eastAsia="方正小标宋_GBK" w:cs="方正小标宋_GBK"/>
          <w:b/>
          <w:bCs/>
          <w:sz w:val="40"/>
          <w:szCs w:val="48"/>
          <w:lang w:val="en-US" w:eastAsia="zh-CN"/>
        </w:rPr>
      </w:pPr>
      <w:r>
        <w:rPr>
          <w:rFonts w:hint="eastAsia" w:ascii="方正小标宋_GBK" w:hAnsi="方正小标宋_GBK" w:eastAsia="方正小标宋_GBK" w:cs="方正小标宋_GBK"/>
          <w:b/>
          <w:bCs/>
          <w:sz w:val="40"/>
          <w:szCs w:val="48"/>
          <w:lang w:val="en-US" w:eastAsia="zh-CN"/>
        </w:rPr>
        <w:t>“习语金句·闪Star百人诵读系列活动”</w:t>
      </w:r>
    </w:p>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jc w:val="center"/>
        <w:textAlignment w:val="auto"/>
        <w:outlineLvl w:val="9"/>
        <w:rPr>
          <w:rFonts w:hint="eastAsia" w:ascii="方正小标宋_GBK" w:hAnsi="方正小标宋_GBK" w:eastAsia="方正小标宋_GBK" w:cs="方正小标宋_GBK"/>
          <w:b/>
          <w:bCs/>
          <w:sz w:val="40"/>
          <w:szCs w:val="48"/>
          <w:lang w:eastAsia="zh-CN"/>
        </w:rPr>
      </w:pPr>
      <w:r>
        <w:rPr>
          <w:rFonts w:hint="eastAsia" w:ascii="方正小标宋_GBK" w:hAnsi="方正小标宋_GBK" w:eastAsia="方正小标宋_GBK" w:cs="方正小标宋_GBK"/>
          <w:b/>
          <w:bCs/>
          <w:sz w:val="40"/>
          <w:szCs w:val="48"/>
          <w:lang w:eastAsia="zh-CN"/>
        </w:rPr>
        <w:t>诵读篇目</w:t>
      </w:r>
    </w:p>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181" w:afterLines="50"/>
        <w:ind w:firstLine="420" w:firstLineChars="0"/>
        <w:jc w:val="left"/>
        <w:textAlignment w:val="auto"/>
        <w:outlineLvl w:val="9"/>
        <w:rPr>
          <w:rFonts w:hint="eastAsia" w:ascii="方正小标宋_GBK" w:hAnsi="方正小标宋_GBK" w:eastAsia="方正小标宋_GBK" w:cs="方正小标宋_GBK"/>
          <w:b/>
          <w:bCs/>
          <w:sz w:val="40"/>
          <w:szCs w:val="48"/>
          <w:lang w:val="en-US" w:eastAsia="zh-CN"/>
        </w:rPr>
      </w:pPr>
      <w:r>
        <w:rPr>
          <w:rFonts w:hint="eastAsia" w:ascii="仿宋" w:hAnsi="仿宋" w:eastAsia="仿宋" w:cs="仿宋"/>
          <w:sz w:val="32"/>
          <w:szCs w:val="32"/>
          <w:lang w:eastAsia="zh-CN"/>
        </w:rPr>
        <w:t>《习近平用典》分两辑，共</w:t>
      </w:r>
      <w:r>
        <w:rPr>
          <w:rFonts w:hint="eastAsia" w:ascii="仿宋" w:hAnsi="仿宋" w:eastAsia="仿宋" w:cs="仿宋"/>
          <w:sz w:val="32"/>
          <w:szCs w:val="32"/>
          <w:lang w:val="en-US" w:eastAsia="zh-CN"/>
        </w:rPr>
        <w:t>16篇，诵读内容拟节选每一篇章两句以用典原文加解读的形式开展诵读活动。</w:t>
      </w:r>
    </w:p>
    <w:tbl>
      <w:tblPr>
        <w:tblStyle w:val="6"/>
        <w:tblW w:w="8736"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w:t>
            </w:r>
            <w:r>
              <w:rPr>
                <w:b/>
                <w:bCs/>
                <w:sz w:val="28"/>
                <w:szCs w:val="28"/>
              </w:rPr>
              <w:t>敬民篇</w:t>
            </w:r>
          </w:p>
        </w:tc>
        <w:tc>
          <w:tcPr>
            <w:tcW w:w="7421" w:type="dxa"/>
            <w:vAlign w:val="top"/>
          </w:tcPr>
          <w:p>
            <w:pPr>
              <w:rPr>
                <w:sz w:val="28"/>
                <w:szCs w:val="28"/>
              </w:rPr>
            </w:pPr>
            <w:r>
              <w:rPr>
                <w:sz w:val="28"/>
                <w:szCs w:val="28"/>
              </w:rPr>
              <w:t>1.衙斋卧听萧萧竹，疑是民间疾苦声。些小吾曹州县吏，一枝一叶总关情。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2.天下之大，黎元为先。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2.</w:t>
            </w:r>
            <w:r>
              <w:rPr>
                <w:b/>
                <w:bCs/>
                <w:sz w:val="28"/>
                <w:szCs w:val="28"/>
              </w:rPr>
              <w:t>治理篇</w:t>
            </w:r>
          </w:p>
        </w:tc>
        <w:tc>
          <w:tcPr>
            <w:tcW w:w="7421" w:type="dxa"/>
            <w:vAlign w:val="top"/>
          </w:tcPr>
          <w:p>
            <w:pPr>
              <w:rPr>
                <w:sz w:val="28"/>
                <w:szCs w:val="28"/>
              </w:rPr>
            </w:pPr>
            <w:r>
              <w:rPr>
                <w:sz w:val="28"/>
                <w:szCs w:val="28"/>
              </w:rPr>
              <w:t>1.大道之行，天下为公。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jc w:val="center"/>
              <w:rPr>
                <w:b/>
                <w:bCs/>
                <w:sz w:val="28"/>
                <w:szCs w:val="28"/>
              </w:rPr>
            </w:pPr>
          </w:p>
        </w:tc>
        <w:tc>
          <w:tcPr>
            <w:tcW w:w="7421" w:type="dxa"/>
            <w:vAlign w:val="top"/>
          </w:tcPr>
          <w:p>
            <w:pPr>
              <w:rPr>
                <w:sz w:val="28"/>
                <w:szCs w:val="28"/>
              </w:rPr>
            </w:pPr>
            <w:r>
              <w:rPr>
                <w:sz w:val="28"/>
                <w:szCs w:val="28"/>
              </w:rPr>
              <w:t>2.芳林新叶催陈叶，流水前波让後波。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3.</w:t>
            </w:r>
            <w:r>
              <w:rPr>
                <w:b/>
                <w:bCs/>
                <w:sz w:val="28"/>
                <w:szCs w:val="28"/>
              </w:rPr>
              <w:t>为政篇</w:t>
            </w:r>
          </w:p>
        </w:tc>
        <w:tc>
          <w:tcPr>
            <w:tcW w:w="7421" w:type="dxa"/>
            <w:vAlign w:val="top"/>
          </w:tcPr>
          <w:p>
            <w:pPr>
              <w:rPr>
                <w:sz w:val="28"/>
                <w:szCs w:val="28"/>
              </w:rPr>
            </w:pPr>
            <w:r>
              <w:rPr>
                <w:sz w:val="28"/>
                <w:szCs w:val="28"/>
              </w:rPr>
              <w:t>1.以天下之目视，目无不见也；以天下之耳听，则无不闻也；以天下之心虑，则无不知也。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2.为政以德，譬如北辰，居其所而众星拱之。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4.</w:t>
            </w:r>
            <w:r>
              <w:rPr>
                <w:b/>
                <w:bCs/>
                <w:sz w:val="28"/>
                <w:szCs w:val="28"/>
              </w:rPr>
              <w:t>立德篇</w:t>
            </w:r>
          </w:p>
        </w:tc>
        <w:tc>
          <w:tcPr>
            <w:tcW w:w="7421" w:type="dxa"/>
            <w:vAlign w:val="top"/>
          </w:tcPr>
          <w:p>
            <w:pPr>
              <w:rPr>
                <w:sz w:val="28"/>
                <w:szCs w:val="28"/>
              </w:rPr>
            </w:pPr>
            <w:r>
              <w:rPr>
                <w:sz w:val="28"/>
                <w:szCs w:val="28"/>
              </w:rPr>
              <w:t>1.静而后能安，安而后能虑，虑而后能得。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2.国有四维，礼义廉耻。四维不张，国乃灭亡。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5.</w:t>
            </w:r>
            <w:r>
              <w:rPr>
                <w:b/>
                <w:bCs/>
                <w:sz w:val="28"/>
                <w:szCs w:val="28"/>
              </w:rPr>
              <w:t>修身篇</w:t>
            </w:r>
          </w:p>
        </w:tc>
        <w:tc>
          <w:tcPr>
            <w:tcW w:w="7421" w:type="dxa"/>
            <w:vAlign w:val="top"/>
          </w:tcPr>
          <w:p>
            <w:pPr>
              <w:rPr>
                <w:sz w:val="28"/>
                <w:szCs w:val="28"/>
              </w:rPr>
            </w:pPr>
            <w:r>
              <w:rPr>
                <w:sz w:val="28"/>
                <w:szCs w:val="28"/>
              </w:rPr>
              <w:t>1.见贤思齐焉，见不贤而内自省也。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2.莫见乎隐，莫显乎微，故君子慎其独也。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6.</w:t>
            </w:r>
            <w:r>
              <w:rPr>
                <w:b/>
                <w:bCs/>
                <w:sz w:val="28"/>
                <w:szCs w:val="28"/>
              </w:rPr>
              <w:t>笃行篇</w:t>
            </w:r>
          </w:p>
        </w:tc>
        <w:tc>
          <w:tcPr>
            <w:tcW w:w="7421" w:type="dxa"/>
            <w:vAlign w:val="top"/>
          </w:tcPr>
          <w:p>
            <w:pPr>
              <w:rPr>
                <w:sz w:val="28"/>
                <w:szCs w:val="28"/>
              </w:rPr>
            </w:pPr>
            <w:r>
              <w:rPr>
                <w:sz w:val="28"/>
                <w:szCs w:val="28"/>
              </w:rPr>
              <w:t>1.图难于其易，为大于其细。天下难事，必做于易；天下大事，必做于细。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2.耳闻之不如目见之，目见之不如足践之。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7.</w:t>
            </w:r>
            <w:r>
              <w:rPr>
                <w:b/>
                <w:bCs/>
                <w:sz w:val="28"/>
                <w:szCs w:val="28"/>
              </w:rPr>
              <w:t>劝学篇</w:t>
            </w:r>
          </w:p>
        </w:tc>
        <w:tc>
          <w:tcPr>
            <w:tcW w:w="7421" w:type="dxa"/>
            <w:vAlign w:val="top"/>
          </w:tcPr>
          <w:p>
            <w:pPr>
              <w:rPr>
                <w:sz w:val="28"/>
                <w:szCs w:val="28"/>
              </w:rPr>
            </w:pPr>
            <w:r>
              <w:rPr>
                <w:sz w:val="28"/>
                <w:szCs w:val="28"/>
              </w:rPr>
              <w:t>1.博学之，审问之，慎思之，明辨之，笃行之。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2.为天地立心、为生民立命、为往圣继绝学、为万世开太平。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8.</w:t>
            </w:r>
            <w:r>
              <w:rPr>
                <w:b/>
                <w:bCs/>
                <w:sz w:val="28"/>
                <w:szCs w:val="28"/>
              </w:rPr>
              <w:t>任贤篇</w:t>
            </w:r>
          </w:p>
        </w:tc>
        <w:tc>
          <w:tcPr>
            <w:tcW w:w="7421" w:type="dxa"/>
            <w:vAlign w:val="top"/>
          </w:tcPr>
          <w:p>
            <w:pPr>
              <w:rPr>
                <w:sz w:val="28"/>
                <w:szCs w:val="28"/>
              </w:rPr>
            </w:pPr>
            <w:r>
              <w:rPr>
                <w:sz w:val="28"/>
                <w:szCs w:val="28"/>
              </w:rPr>
              <w:t>1.邦之兴，由得人也；邦之亡，由失人也。得其人，失其人，非一朝一夕之故，其所由来者渐矣。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2.思皇多士，生此王国。王国克生，维周之桢；济济多士，文王以宁。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9.</w:t>
            </w:r>
            <w:r>
              <w:rPr>
                <w:b/>
                <w:bCs/>
                <w:sz w:val="28"/>
                <w:szCs w:val="28"/>
              </w:rPr>
              <w:t>天下篇</w:t>
            </w:r>
          </w:p>
        </w:tc>
        <w:tc>
          <w:tcPr>
            <w:tcW w:w="7421" w:type="dxa"/>
            <w:vAlign w:val="top"/>
          </w:tcPr>
          <w:p>
            <w:pPr>
              <w:rPr>
                <w:sz w:val="28"/>
                <w:szCs w:val="28"/>
              </w:rPr>
            </w:pPr>
            <w:r>
              <w:rPr>
                <w:sz w:val="28"/>
                <w:szCs w:val="28"/>
              </w:rPr>
              <w:t>1.穷则独善其身，达则兼济天下。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2.立天下之正位，行天下之大道。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10.</w:t>
            </w:r>
            <w:r>
              <w:rPr>
                <w:b/>
                <w:bCs/>
                <w:sz w:val="28"/>
                <w:szCs w:val="28"/>
              </w:rPr>
              <w:t>廉政篇</w:t>
            </w:r>
          </w:p>
        </w:tc>
        <w:tc>
          <w:tcPr>
            <w:tcW w:w="7421" w:type="dxa"/>
            <w:vAlign w:val="top"/>
          </w:tcPr>
          <w:p>
            <w:pPr>
              <w:rPr>
                <w:sz w:val="28"/>
                <w:szCs w:val="28"/>
              </w:rPr>
            </w:pPr>
            <w:r>
              <w:rPr>
                <w:sz w:val="28"/>
                <w:szCs w:val="28"/>
              </w:rPr>
              <w:t>1.欲知平直，则必准绳；欲知方圆，则必规矩。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2.有功必赏，有过必罚，则为善者日进，为恶者日止。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11.</w:t>
            </w:r>
            <w:r>
              <w:rPr>
                <w:b/>
                <w:bCs/>
                <w:sz w:val="28"/>
                <w:szCs w:val="28"/>
              </w:rPr>
              <w:t>信念篇</w:t>
            </w:r>
          </w:p>
        </w:tc>
        <w:tc>
          <w:tcPr>
            <w:tcW w:w="7421" w:type="dxa"/>
            <w:vAlign w:val="top"/>
          </w:tcPr>
          <w:p>
            <w:pPr>
              <w:rPr>
                <w:sz w:val="28"/>
                <w:szCs w:val="28"/>
              </w:rPr>
            </w:pPr>
            <w:r>
              <w:rPr>
                <w:sz w:val="28"/>
                <w:szCs w:val="28"/>
              </w:rPr>
              <w:t>1.千磨万击还坚劲，任尔东西南北风。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2.雄关漫道真如铁。人间正道是沧桑。长风破浪会有时。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12.</w:t>
            </w:r>
            <w:r>
              <w:rPr>
                <w:b/>
                <w:bCs/>
                <w:sz w:val="28"/>
                <w:szCs w:val="28"/>
              </w:rPr>
              <w:t>创新篇</w:t>
            </w:r>
          </w:p>
        </w:tc>
        <w:tc>
          <w:tcPr>
            <w:tcW w:w="7421" w:type="dxa"/>
            <w:vAlign w:val="top"/>
          </w:tcPr>
          <w:p>
            <w:pPr>
              <w:rPr>
                <w:sz w:val="28"/>
                <w:szCs w:val="28"/>
              </w:rPr>
            </w:pPr>
            <w:r>
              <w:rPr>
                <w:sz w:val="28"/>
                <w:szCs w:val="28"/>
              </w:rPr>
              <w:t>1.水之积也不厚，则其负大舟也无力。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2.凡益之道，与时偕行。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13.</w:t>
            </w:r>
            <w:r>
              <w:rPr>
                <w:b/>
                <w:bCs/>
                <w:sz w:val="28"/>
                <w:szCs w:val="28"/>
              </w:rPr>
              <w:t>法治篇</w:t>
            </w:r>
          </w:p>
        </w:tc>
        <w:tc>
          <w:tcPr>
            <w:tcW w:w="7421" w:type="dxa"/>
            <w:vAlign w:val="top"/>
          </w:tcPr>
          <w:p>
            <w:pPr>
              <w:rPr>
                <w:sz w:val="28"/>
                <w:szCs w:val="28"/>
              </w:rPr>
            </w:pPr>
            <w:r>
              <w:rPr>
                <w:sz w:val="28"/>
                <w:szCs w:val="28"/>
              </w:rPr>
              <w:t>1.立善法于天下，则天下治。立善法于一国，则一国治。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b/>
                <w:bCs/>
                <w:sz w:val="28"/>
                <w:szCs w:val="28"/>
              </w:rPr>
            </w:pPr>
          </w:p>
        </w:tc>
        <w:tc>
          <w:tcPr>
            <w:tcW w:w="7421" w:type="dxa"/>
            <w:vAlign w:val="top"/>
          </w:tcPr>
          <w:p>
            <w:pPr>
              <w:rPr>
                <w:sz w:val="28"/>
                <w:szCs w:val="28"/>
              </w:rPr>
            </w:pPr>
            <w:r>
              <w:rPr>
                <w:sz w:val="28"/>
                <w:szCs w:val="28"/>
              </w:rPr>
              <w:t>2.治国者，圆不失规，房不失矩，本不失末，为政不失其道，万事可成，其功可保。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14.</w:t>
            </w:r>
            <w:r>
              <w:rPr>
                <w:b/>
                <w:bCs/>
                <w:sz w:val="28"/>
                <w:szCs w:val="28"/>
              </w:rPr>
              <w:t>辩证篇</w:t>
            </w:r>
          </w:p>
        </w:tc>
        <w:tc>
          <w:tcPr>
            <w:tcW w:w="7421" w:type="dxa"/>
            <w:vAlign w:val="top"/>
          </w:tcPr>
          <w:p>
            <w:pPr>
              <w:rPr>
                <w:sz w:val="28"/>
                <w:szCs w:val="28"/>
              </w:rPr>
            </w:pPr>
            <w:r>
              <w:rPr>
                <w:sz w:val="28"/>
                <w:szCs w:val="28"/>
              </w:rPr>
              <w:t>1.泾溪石险人兢慎，终岁不闻倾覆人。却是平流无石处，时时闻说有沉沦。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2.不谋全局者，不足谋一域。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15.</w:t>
            </w:r>
            <w:r>
              <w:rPr>
                <w:b/>
                <w:bCs/>
                <w:sz w:val="28"/>
                <w:szCs w:val="28"/>
              </w:rPr>
              <w:t>历史篇</w:t>
            </w:r>
          </w:p>
        </w:tc>
        <w:tc>
          <w:tcPr>
            <w:tcW w:w="7421" w:type="dxa"/>
            <w:vAlign w:val="top"/>
          </w:tcPr>
          <w:p>
            <w:pPr>
              <w:rPr>
                <w:sz w:val="28"/>
                <w:szCs w:val="28"/>
              </w:rPr>
            </w:pPr>
            <w:r>
              <w:rPr>
                <w:sz w:val="28"/>
                <w:szCs w:val="28"/>
              </w:rPr>
              <w:t>1.昭昭前事，惕惕后人。永矢弗谖，祈愿和平。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2.明镜所以照形，古事所以知今。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restart"/>
            <w:vAlign w:val="center"/>
          </w:tcPr>
          <w:p>
            <w:pPr>
              <w:jc w:val="center"/>
              <w:rPr>
                <w:b/>
                <w:bCs/>
                <w:sz w:val="28"/>
                <w:szCs w:val="28"/>
              </w:rPr>
            </w:pPr>
            <w:r>
              <w:rPr>
                <w:rFonts w:hint="eastAsia"/>
                <w:b/>
                <w:bCs/>
                <w:sz w:val="28"/>
                <w:szCs w:val="28"/>
                <w:lang w:val="en-US" w:eastAsia="zh-CN"/>
              </w:rPr>
              <w:t>16.</w:t>
            </w:r>
            <w:r>
              <w:rPr>
                <w:b/>
                <w:bCs/>
                <w:sz w:val="28"/>
                <w:szCs w:val="28"/>
              </w:rPr>
              <w:t>文学篇</w:t>
            </w:r>
          </w:p>
        </w:tc>
        <w:tc>
          <w:tcPr>
            <w:tcW w:w="7421" w:type="dxa"/>
            <w:vAlign w:val="top"/>
          </w:tcPr>
          <w:p>
            <w:pPr>
              <w:rPr>
                <w:sz w:val="28"/>
                <w:szCs w:val="28"/>
              </w:rPr>
            </w:pPr>
            <w:r>
              <w:rPr>
                <w:sz w:val="28"/>
                <w:szCs w:val="28"/>
              </w:rPr>
              <w:t>1.情者文之经，辞者理之纬；经正而后纬成，理定而后辞畅。此立文之本源也。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5" w:type="dxa"/>
            <w:vMerge w:val="continue"/>
            <w:vAlign w:val="top"/>
          </w:tcPr>
          <w:p>
            <w:pPr>
              <w:rPr>
                <w:sz w:val="28"/>
                <w:szCs w:val="28"/>
              </w:rPr>
            </w:pPr>
          </w:p>
        </w:tc>
        <w:tc>
          <w:tcPr>
            <w:tcW w:w="7421" w:type="dxa"/>
            <w:vAlign w:val="top"/>
          </w:tcPr>
          <w:p>
            <w:pPr>
              <w:rPr>
                <w:sz w:val="28"/>
                <w:szCs w:val="28"/>
              </w:rPr>
            </w:pPr>
            <w:r>
              <w:rPr>
                <w:sz w:val="28"/>
                <w:szCs w:val="28"/>
              </w:rPr>
              <w:t>2.慈母手中线，游子身上衣。临行密密缝，意恐迟迟归。谁言寸草心，报得三春晖。</w:t>
            </w:r>
          </w:p>
        </w:tc>
      </w:tr>
    </w:tbl>
    <w:p>
      <w:pPr>
        <w:rPr>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val="0"/>
          <w:bCs w:val="0"/>
          <w:color w:val="auto"/>
          <w:sz w:val="32"/>
          <w:szCs w:val="40"/>
          <w:u w:val="none"/>
          <w:lang w:val="en-US" w:eastAsia="zh-CN"/>
        </w:rPr>
      </w:pP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b w:val="0"/>
          <w:bCs w:val="0"/>
          <w:sz w:val="32"/>
          <w:szCs w:val="40"/>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BA037"/>
    <w:multiLevelType w:val="singleLevel"/>
    <w:tmpl w:val="4E4BA0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D1522"/>
    <w:rsid w:val="006231AB"/>
    <w:rsid w:val="08CF5FE3"/>
    <w:rsid w:val="1D5277A3"/>
    <w:rsid w:val="2339271C"/>
    <w:rsid w:val="285F426A"/>
    <w:rsid w:val="2EBC739C"/>
    <w:rsid w:val="330C0AA1"/>
    <w:rsid w:val="3CA212D0"/>
    <w:rsid w:val="3FCD1522"/>
    <w:rsid w:val="40E70099"/>
    <w:rsid w:val="45614B2A"/>
    <w:rsid w:val="45C46A28"/>
    <w:rsid w:val="46872867"/>
    <w:rsid w:val="4CB8195A"/>
    <w:rsid w:val="518326D5"/>
    <w:rsid w:val="57092FD0"/>
    <w:rsid w:val="582F3B6C"/>
    <w:rsid w:val="58F472E4"/>
    <w:rsid w:val="5D321CE0"/>
    <w:rsid w:val="5F026D45"/>
    <w:rsid w:val="5F5870F3"/>
    <w:rsid w:val="5F726677"/>
    <w:rsid w:val="680F4BD8"/>
    <w:rsid w:val="69973789"/>
    <w:rsid w:val="6A397ACF"/>
    <w:rsid w:val="6BF76BE7"/>
    <w:rsid w:val="6DF951D2"/>
    <w:rsid w:val="72C01608"/>
    <w:rsid w:val="7ED87153"/>
    <w:rsid w:val="7FB0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Emphasis"/>
    <w:basedOn w:val="3"/>
    <w:qFormat/>
    <w:uiPriority w:val="0"/>
    <w:rPr>
      <w:i/>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2018-10-30T12:32:00Z</dcterms:created>
  <dc:creator>asus</dc:creator>
  <cp:lastModifiedBy>Administrator</cp:lastModifiedBy>
  <dcterms:modified xsi:type="dcterms:W3CDTF">2018-11-07T02:21:07Z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