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4E60" w14:textId="77777777" w:rsidR="007377E9" w:rsidRPr="007377E9" w:rsidRDefault="007377E9" w:rsidP="007377E9">
      <w:pPr>
        <w:spacing w:after="160" w:line="520" w:lineRule="exact"/>
        <w:jc w:val="left"/>
        <w:rPr>
          <w:rFonts w:ascii="仿宋_GB2312" w:eastAsia="仿宋_GB2312" w:hAnsi="仿宋_GB2312"/>
          <w:color w:val="333333"/>
          <w:sz w:val="28"/>
          <w:szCs w:val="32"/>
        </w:rPr>
      </w:pPr>
      <w:r w:rsidRPr="007377E9">
        <w:rPr>
          <w:rFonts w:ascii="仿宋_GB2312" w:eastAsia="仿宋_GB2312" w:hAnsi="仿宋_GB2312" w:hint="eastAsia"/>
          <w:color w:val="333333"/>
          <w:sz w:val="28"/>
          <w:szCs w:val="32"/>
        </w:rPr>
        <w:t>附件1：</w:t>
      </w:r>
    </w:p>
    <w:p w14:paraId="39FC7844" w14:textId="77777777" w:rsidR="007377E9" w:rsidRPr="00C55434" w:rsidRDefault="007377E9" w:rsidP="00DC0C0C">
      <w:pPr>
        <w:spacing w:line="400" w:lineRule="exact"/>
        <w:jc w:val="center"/>
        <w:rPr>
          <w:rFonts w:ascii="黑体" w:eastAsia="黑体" w:hAnsi="黑体" w:cs="华文中宋"/>
          <w:color w:val="333333"/>
          <w:sz w:val="36"/>
          <w:szCs w:val="36"/>
        </w:rPr>
      </w:pPr>
      <w:r w:rsidRPr="00C55434">
        <w:rPr>
          <w:rFonts w:ascii="黑体" w:eastAsia="黑体" w:hAnsi="黑体" w:cs="华文中宋" w:hint="eastAsia"/>
          <w:color w:val="333333"/>
          <w:sz w:val="36"/>
          <w:szCs w:val="36"/>
        </w:rPr>
        <w:t>陕西师范大学首届“启夏青年节”活动安排</w:t>
      </w:r>
    </w:p>
    <w:tbl>
      <w:tblPr>
        <w:tblStyle w:val="a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2945"/>
        <w:gridCol w:w="3402"/>
        <w:gridCol w:w="7229"/>
      </w:tblGrid>
      <w:tr w:rsidR="007377E9" w14:paraId="4FE5D627" w14:textId="77777777" w:rsidTr="00DC0C0C">
        <w:trPr>
          <w:trHeight w:val="850"/>
          <w:jc w:val="center"/>
        </w:trPr>
        <w:tc>
          <w:tcPr>
            <w:tcW w:w="14312" w:type="dxa"/>
            <w:gridSpan w:val="4"/>
            <w:vAlign w:val="center"/>
          </w:tcPr>
          <w:p w14:paraId="259E95CE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333333"/>
                <w:sz w:val="28"/>
                <w:szCs w:val="28"/>
              </w:rPr>
              <w:t>第一篇章：格物致知——学术科技篇</w:t>
            </w:r>
          </w:p>
        </w:tc>
      </w:tr>
      <w:tr w:rsidR="007377E9" w14:paraId="36D13D90" w14:textId="77777777" w:rsidTr="00DC0C0C">
        <w:trPr>
          <w:jc w:val="center"/>
        </w:trPr>
        <w:tc>
          <w:tcPr>
            <w:tcW w:w="736" w:type="dxa"/>
            <w:vAlign w:val="center"/>
          </w:tcPr>
          <w:p w14:paraId="3F557999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945" w:type="dxa"/>
            <w:vAlign w:val="center"/>
          </w:tcPr>
          <w:p w14:paraId="4D26BDD8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活动名称</w:t>
            </w:r>
          </w:p>
        </w:tc>
        <w:tc>
          <w:tcPr>
            <w:tcW w:w="3402" w:type="dxa"/>
            <w:vAlign w:val="center"/>
          </w:tcPr>
          <w:p w14:paraId="624DEA72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承办单位</w:t>
            </w:r>
          </w:p>
        </w:tc>
        <w:tc>
          <w:tcPr>
            <w:tcW w:w="7229" w:type="dxa"/>
            <w:vAlign w:val="center"/>
          </w:tcPr>
          <w:p w14:paraId="62281597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活动简介</w:t>
            </w:r>
          </w:p>
        </w:tc>
      </w:tr>
      <w:tr w:rsidR="00B97498" w14:paraId="70C2C083" w14:textId="77777777" w:rsidTr="00DC0C0C">
        <w:trPr>
          <w:jc w:val="center"/>
        </w:trPr>
        <w:tc>
          <w:tcPr>
            <w:tcW w:w="736" w:type="dxa"/>
            <w:vAlign w:val="center"/>
          </w:tcPr>
          <w:p w14:paraId="11CE9680" w14:textId="6E7035D2" w:rsidR="00B97498" w:rsidRDefault="003F78D3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14:paraId="3D705603" w14:textId="3BA61B40" w:rsidR="00B97498" w:rsidRDefault="003F78D3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 w:rsidRPr="00B97498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研究生酌理沙龙</w:t>
            </w:r>
          </w:p>
        </w:tc>
        <w:tc>
          <w:tcPr>
            <w:tcW w:w="3402" w:type="dxa"/>
            <w:vAlign w:val="center"/>
          </w:tcPr>
          <w:p w14:paraId="19A07CB2" w14:textId="6A361905" w:rsidR="00B97498" w:rsidRDefault="003F78D3" w:rsidP="003F78D3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 w:rsidRPr="003F78D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校研究生会</w:t>
            </w:r>
          </w:p>
        </w:tc>
        <w:tc>
          <w:tcPr>
            <w:tcW w:w="7229" w:type="dxa"/>
            <w:vAlign w:val="center"/>
          </w:tcPr>
          <w:p w14:paraId="3CDC76B5" w14:textId="2866D6E3" w:rsidR="00B97498" w:rsidRPr="003F78D3" w:rsidRDefault="00B97498" w:rsidP="003F78D3">
            <w:pPr>
              <w:wordWrap w:val="0"/>
              <w:jc w:val="left"/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</w:pPr>
            <w:r w:rsidRPr="00B97498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沙龙以“让思考多一种可能，让智慧再一次交锋”为宗旨，以座谈、学术沙龙、研讨会、经验交流会等形式展开，</w:t>
            </w:r>
            <w:r w:rsidR="003F78D3" w:rsidRPr="00DC0C0C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把追踪社会热点与把脉学术前沿相结合，把学术研究与实际应用相结合，</w:t>
            </w:r>
            <w:r w:rsidRPr="00B97498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内容多样，形式灵活</w:t>
            </w:r>
            <w:r w:rsidR="003F78D3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，为</w:t>
            </w:r>
            <w:r w:rsidRPr="00B97498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在校硕士、博士研究生</w:t>
            </w:r>
            <w:r w:rsidR="003F78D3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搭建了学术交流、资源共享的平台。</w:t>
            </w:r>
          </w:p>
        </w:tc>
      </w:tr>
      <w:tr w:rsidR="007377E9" w14:paraId="78DCA271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143392E2" w14:textId="2BC22EFD" w:rsidR="007377E9" w:rsidRDefault="003F78D3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1996AC3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“我们一起造物吧”</w:t>
            </w:r>
          </w:p>
          <w:p w14:paraId="445971B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——机器人与手工创意作品展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6CCBC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6D37282" w14:textId="77777777" w:rsidR="007377E9" w:rsidRDefault="007377E9" w:rsidP="00084D03">
            <w:pPr>
              <w:widowControl/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通过机器人</w:t>
            </w:r>
            <w:proofErr w:type="gramStart"/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创客教育</w:t>
            </w:r>
            <w:proofErr w:type="gramEnd"/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作品展示、科学知识普及、学生手工作品展览等活动，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提高大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学生的科技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文化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素养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和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动手能力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丰富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大学生的课余文化生活，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促进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学生健康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全面发展。</w:t>
            </w:r>
          </w:p>
        </w:tc>
      </w:tr>
      <w:tr w:rsidR="007377E9" w14:paraId="7B7DDCE7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4350B240" w14:textId="0C550AD1" w:rsidR="007377E9" w:rsidRDefault="003F78D3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09D31BF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“语声剧来”</w:t>
            </w:r>
          </w:p>
          <w:p w14:paraId="02E5917B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——外文经典电影配音比赛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C0AC39F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外国语学院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03FF7D7D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活动旨在通过为学生喜爱的外文经典影视作品配音，充分表现语言艺术的魅力，激发同学们外语学习的热情，提高外语语言素养，从而让更多的大学生在轻松愉悦的氛围中体会到英语学习的乐趣。</w:t>
            </w:r>
          </w:p>
        </w:tc>
      </w:tr>
      <w:tr w:rsidR="007377E9" w14:paraId="70C15917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26908879" w14:textId="7154FCB3" w:rsidR="007377E9" w:rsidRDefault="003F78D3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11D05BDB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大学生科普讲解大赛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160A87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物理学与信息技术学院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42CABA2" w14:textId="77777777" w:rsidR="007377E9" w:rsidRDefault="007377E9" w:rsidP="00084D03">
            <w:pPr>
              <w:widowControl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通过自主命题、随机命题讲解和科技常识问答等方式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  <w:t>使同学们充分了解科学常识，达到在全校广泛普及科学知识，弘扬科学精神，传播科学思想，倡导科学方法，积极投身科技强国实践的目的。</w:t>
            </w:r>
          </w:p>
        </w:tc>
      </w:tr>
      <w:tr w:rsidR="007377E9" w14:paraId="6606B2D8" w14:textId="77777777" w:rsidTr="00DC0C0C">
        <w:trPr>
          <w:trHeight w:val="416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4483BAAC" w14:textId="1B1340BE" w:rsidR="007377E9" w:rsidRDefault="003F78D3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0C9D20F2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“师大光影 微享青春”</w:t>
            </w:r>
          </w:p>
          <w:p w14:paraId="030589D5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微影大赛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14:paraId="06856069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计算机科学学院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5D0602F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通过活动的开展，鼓励青年学子用摄影记录校园生活，通过剪辑视频，将师大青年的声音、影像完美组合，激励大学生在学习、生活中处处留心，培养大学生寻美、审美、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悟美的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能力，丰富大学生的校园文化生活。</w:t>
            </w:r>
          </w:p>
        </w:tc>
      </w:tr>
      <w:tr w:rsidR="007377E9" w14:paraId="0F0859C4" w14:textId="77777777" w:rsidTr="00DC0C0C">
        <w:trPr>
          <w:trHeight w:val="850"/>
          <w:jc w:val="center"/>
        </w:trPr>
        <w:tc>
          <w:tcPr>
            <w:tcW w:w="14312" w:type="dxa"/>
            <w:gridSpan w:val="4"/>
            <w:vAlign w:val="center"/>
          </w:tcPr>
          <w:p w14:paraId="2A07F9D6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333333"/>
                <w:sz w:val="28"/>
                <w:szCs w:val="28"/>
              </w:rPr>
              <w:lastRenderedPageBreak/>
              <w:t>第二篇章：弦歌雅韵——文化艺术篇</w:t>
            </w:r>
          </w:p>
        </w:tc>
      </w:tr>
      <w:tr w:rsidR="007377E9" w14:paraId="2CF70276" w14:textId="77777777" w:rsidTr="00DC0C0C">
        <w:trPr>
          <w:jc w:val="center"/>
        </w:trPr>
        <w:tc>
          <w:tcPr>
            <w:tcW w:w="736" w:type="dxa"/>
            <w:vAlign w:val="center"/>
          </w:tcPr>
          <w:p w14:paraId="4E687192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945" w:type="dxa"/>
            <w:vAlign w:val="center"/>
          </w:tcPr>
          <w:p w14:paraId="17D9BED1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活动名称</w:t>
            </w:r>
          </w:p>
        </w:tc>
        <w:tc>
          <w:tcPr>
            <w:tcW w:w="3402" w:type="dxa"/>
            <w:vAlign w:val="center"/>
          </w:tcPr>
          <w:p w14:paraId="177A0410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承办单位</w:t>
            </w:r>
          </w:p>
        </w:tc>
        <w:tc>
          <w:tcPr>
            <w:tcW w:w="7229" w:type="dxa"/>
            <w:vAlign w:val="center"/>
          </w:tcPr>
          <w:p w14:paraId="3EFA8CC4" w14:textId="77777777" w:rsidR="007377E9" w:rsidRDefault="007377E9" w:rsidP="00084D03">
            <w:pPr>
              <w:spacing w:after="160" w:line="520" w:lineRule="exact"/>
              <w:jc w:val="center"/>
              <w:rPr>
                <w:rFonts w:ascii="黑体" w:eastAsia="黑体" w:hAnsi="黑体" w:cs="黑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活动简介</w:t>
            </w:r>
          </w:p>
        </w:tc>
      </w:tr>
      <w:tr w:rsidR="007377E9" w14:paraId="47A9E004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1B2638B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245B9CA1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第五届传统文化节</w:t>
            </w:r>
          </w:p>
          <w:p w14:paraId="69948A8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第四届少数民族文化节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293462C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校学生会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6F7B364" w14:textId="77777777" w:rsidR="007377E9" w:rsidRDefault="007377E9" w:rsidP="00084D03">
            <w:pPr>
              <w:pStyle w:val="a7"/>
              <w:widowControl/>
              <w:jc w:val="both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03030"/>
                <w:kern w:val="2"/>
                <w:szCs w:val="24"/>
                <w:shd w:val="clear" w:color="auto" w:fill="FFFFFF"/>
              </w:rPr>
              <w:t>通过传统技艺体验欣赏、传统文化风采展示、民族特色文化体验和华夏民族风采展演</w:t>
            </w:r>
            <w:r>
              <w:rPr>
                <w:rFonts w:ascii="仿宋" w:eastAsia="仿宋" w:hAnsi="仿宋" w:cs="仿宋" w:hint="eastAsia"/>
                <w:color w:val="303030"/>
                <w:kern w:val="2"/>
                <w:szCs w:val="24"/>
                <w:shd w:val="clear" w:color="auto" w:fill="FFFFFF"/>
              </w:rPr>
              <w:t>等活动</w:t>
            </w:r>
            <w:r>
              <w:rPr>
                <w:rFonts w:ascii="仿宋" w:eastAsia="仿宋" w:hAnsi="仿宋" w:cs="仿宋"/>
                <w:color w:val="303030"/>
                <w:szCs w:val="24"/>
                <w:shd w:val="clear" w:color="auto" w:fill="FFFFFF"/>
              </w:rPr>
              <w:t>，在全校范围内营造学习传统文化、了解民族艺术的良好氛围，激发我校青年对传统文化、民族文化的兴趣，拓宽青年文化视野，促进青年全面发展。</w:t>
            </w:r>
          </w:p>
        </w:tc>
      </w:tr>
      <w:tr w:rsidR="007377E9" w14:paraId="64537E8A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5B03DE61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3E7722C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第十六届Star擂台赛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B7E0993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校学生会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D425213" w14:textId="77777777" w:rsidR="007377E9" w:rsidRDefault="007377E9" w:rsidP="00084D03">
            <w:pPr>
              <w:widowControl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  <w:lang w:bidi="ar"/>
              </w:rPr>
              <w:t>活动旨在提高大学生的综合素质，展现师大学子的精神风貌，提升校园文化品位。通过舞蹈、乐器、书法、语言等多种艺术形式的比拼，充分展示青年学子的青春风采。</w:t>
            </w:r>
          </w:p>
        </w:tc>
      </w:tr>
      <w:tr w:rsidR="007377E9" w14:paraId="1148EAB7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722A5397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5CD5B16E" w14:textId="77777777" w:rsidR="007377E9" w:rsidRDefault="007377E9" w:rsidP="00084D03">
            <w:pPr>
              <w:jc w:val="center"/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“献礼改革开放40周年”</w:t>
            </w:r>
          </w:p>
          <w:p w14:paraId="0D04A041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图文征集大赛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84A88C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D42A88C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通过大赛，征集文字作品以及对比性、代表性照片、手抄报等多种形式的图片作品，引导广大青年学生进一步增强“四个意识”、坚定“四个自信”，增强新时代青年大学生的使命感和责任感。</w:t>
            </w:r>
          </w:p>
        </w:tc>
      </w:tr>
      <w:tr w:rsidR="007377E9" w14:paraId="4469629C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35611884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68F655F8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“翰墨歌颂新时代”</w:t>
            </w:r>
          </w:p>
          <w:p w14:paraId="4D4CF903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——纪念改革开放40周年书法创作大赛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CF9D3D7" w14:textId="77777777" w:rsidR="007377E9" w:rsidRPr="00DA6D86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美术学院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7409A3A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活动以“翰墨歌颂新时代”为主题，从十九大报告、习近平系列重要讲话、马列经典原文中选取相关内容，分硬笔书法和软笔书法现场抽题进行创作，通过活动的开展旨在创作一批弘扬社会主义核心价值观、反映改革开放取得的伟大成就、展示时代风貌以及当代教师和青年形象的优秀作品。</w:t>
            </w:r>
          </w:p>
        </w:tc>
      </w:tr>
      <w:tr w:rsidR="007377E9" w14:paraId="4D805E8C" w14:textId="77777777" w:rsidTr="00DC0C0C">
        <w:trPr>
          <w:trHeight w:val="850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19F8D5B6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7A2B7530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“诗韵青年志”诗词大赛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03BBCF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  <w:p w14:paraId="3ECDBD7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哲学与政府管理学院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5EAD87E" w14:textId="77777777" w:rsidR="007377E9" w:rsidRDefault="007377E9" w:rsidP="00084D03">
            <w:pPr>
              <w:widowControl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以尚中华诗词、寻文化基因为基本宗旨，力求通过对诗词知识的</w:t>
            </w:r>
            <w:proofErr w:type="gramStart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比拼及赏析</w:t>
            </w:r>
            <w:proofErr w:type="gramEnd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，带动同学们重温古诗词，分享诗词之美，感受诗词之趣，从古人的智慧和情怀中汲取营养，涵养心灵，也让校园文化更加多姿多彩。</w:t>
            </w:r>
          </w:p>
        </w:tc>
      </w:tr>
      <w:tr w:rsidR="007377E9" w14:paraId="49D46CBF" w14:textId="77777777" w:rsidTr="00DC0C0C">
        <w:trPr>
          <w:trHeight w:hRule="exact" w:val="1431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50B7F59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3C55FF7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“师大有戏”</w:t>
            </w:r>
          </w:p>
          <w:p w14:paraId="4A3769D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</w:t>
            </w:r>
            <w:r>
              <w:rPr>
                <w:rFonts w:ascii="仿宋" w:eastAsia="仿宋" w:hAnsi="仿宋"/>
                <w:sz w:val="24"/>
                <w:szCs w:val="24"/>
              </w:rPr>
              <w:t>戏剧节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E4AB4F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文学院入戏剧社</w:t>
            </w:r>
          </w:p>
          <w:p w14:paraId="418CCAB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心理学院心理学社</w:t>
            </w:r>
          </w:p>
          <w:p w14:paraId="3AF7E939" w14:textId="03A7CE9E" w:rsidR="007377E9" w:rsidRDefault="007377E9" w:rsidP="00C5543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</w:t>
            </w:r>
            <w:r>
              <w:rPr>
                <w:rFonts w:ascii="仿宋" w:eastAsia="仿宋" w:hAnsi="仿宋"/>
                <w:sz w:val="24"/>
                <w:szCs w:val="24"/>
              </w:rPr>
              <w:t>与传播学院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新传剧社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3BB0C51" w14:textId="77777777" w:rsidR="007377E9" w:rsidRDefault="007377E9" w:rsidP="00084D03">
            <w:pPr>
              <w:pStyle w:val="HTML"/>
              <w:widowControl/>
              <w:shd w:val="clear" w:color="auto" w:fill="FFFFFF"/>
              <w:jc w:val="both"/>
              <w:rPr>
                <w:rFonts w:ascii="仿宋_GB2312" w:eastAsia="仿宋_GB2312" w:hAnsi="仿宋_GB2312" w:hint="default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03030"/>
                <w:kern w:val="2"/>
                <w:shd w:val="clear" w:color="auto" w:fill="FFFFFF"/>
              </w:rPr>
              <w:t>通过戏剧节专场演出，力求丰富我校学生的课余文化生活，充分发挥学科优势，锻炼大学生的表达能力、创作能力、组织能力，打造我校艺术文化品牌，培养更多拥有艺术修养和人文情怀的综合素质突出的时代新人。</w:t>
            </w:r>
          </w:p>
        </w:tc>
      </w:tr>
      <w:tr w:rsidR="007377E9" w14:paraId="0EDAF1FE" w14:textId="77777777" w:rsidTr="00DC0C0C">
        <w:trPr>
          <w:trHeight w:hRule="exact" w:val="1247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755CB5BF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00B562D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“不忘初心，砥砺前行” ——青年学子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十九大精神文艺汇演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99D8EB9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C792706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通过举办主题文艺汇演活动，发挥音乐学院的特点及优势，以青年学生喜闻乐见的声乐、器乐和舞蹈形式再现经典曲目，积极引导青年学生为学习和</w:t>
            </w:r>
            <w:proofErr w:type="gramStart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十九大精神营造良好的校园文化氛围。</w:t>
            </w:r>
          </w:p>
        </w:tc>
      </w:tr>
      <w:tr w:rsidR="007377E9" w14:paraId="20893CA2" w14:textId="77777777" w:rsidTr="00DC0C0C">
        <w:trPr>
          <w:trHeight w:hRule="exact" w:val="1247"/>
          <w:jc w:val="center"/>
        </w:trPr>
        <w:tc>
          <w:tcPr>
            <w:tcW w:w="14312" w:type="dxa"/>
            <w:gridSpan w:val="4"/>
            <w:vAlign w:val="center"/>
          </w:tcPr>
          <w:p w14:paraId="00824477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333333"/>
                <w:sz w:val="28"/>
                <w:szCs w:val="28"/>
              </w:rPr>
              <w:t>第三篇章：律动青春——体育竞技篇</w:t>
            </w:r>
          </w:p>
        </w:tc>
      </w:tr>
      <w:tr w:rsidR="007377E9" w14:paraId="37BCB3D8" w14:textId="77777777" w:rsidTr="00DC0C0C">
        <w:trPr>
          <w:trHeight w:hRule="exact" w:val="1247"/>
          <w:jc w:val="center"/>
        </w:trPr>
        <w:tc>
          <w:tcPr>
            <w:tcW w:w="736" w:type="dxa"/>
            <w:vAlign w:val="center"/>
          </w:tcPr>
          <w:p w14:paraId="4BE7DD8E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945" w:type="dxa"/>
            <w:vAlign w:val="center"/>
          </w:tcPr>
          <w:p w14:paraId="192B799A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活动名称</w:t>
            </w:r>
          </w:p>
        </w:tc>
        <w:tc>
          <w:tcPr>
            <w:tcW w:w="3402" w:type="dxa"/>
            <w:vAlign w:val="center"/>
          </w:tcPr>
          <w:p w14:paraId="33E4BF0B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承办单位</w:t>
            </w:r>
          </w:p>
        </w:tc>
        <w:tc>
          <w:tcPr>
            <w:tcW w:w="7229" w:type="dxa"/>
            <w:vAlign w:val="center"/>
          </w:tcPr>
          <w:p w14:paraId="6981E861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活动简介</w:t>
            </w:r>
          </w:p>
        </w:tc>
      </w:tr>
      <w:tr w:rsidR="007377E9" w14:paraId="76FD9A92" w14:textId="77777777" w:rsidTr="00DC0C0C">
        <w:trPr>
          <w:trHeight w:hRule="exact" w:val="1247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5D4C40CE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515F08C9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2018年学生男子篮球联赛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5E0DAB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校学生会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E337432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通过举办2018年学生男子篮球联赛，积极引导广大青年学生走下网络、走出宿舍、走向操场，达到锻炼体魄、增进友谊、加强交流、提升团队凝聚力的目的。</w:t>
            </w:r>
          </w:p>
        </w:tc>
      </w:tr>
      <w:tr w:rsidR="007377E9" w14:paraId="0EA02A0F" w14:textId="77777777" w:rsidTr="00DC0C0C">
        <w:trPr>
          <w:trHeight w:hRule="exact" w:val="1247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7A1FCF44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315F6A33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“汇聚体育力量，提振师大精神”系列活动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47A022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体育学院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7B1E4B7" w14:textId="77777777" w:rsidR="007377E9" w:rsidRDefault="007377E9" w:rsidP="00084D03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通过举办校园定向越野赛、师生羽毛球、网球、足球和围棋比赛，激发我校师生参加体育锻炼的主观能动性，使其形成良好的体育锻炼习惯，增强体质，助推高校健康运动。</w:t>
            </w:r>
          </w:p>
        </w:tc>
      </w:tr>
      <w:tr w:rsidR="007377E9" w14:paraId="37E89E4C" w14:textId="77777777" w:rsidTr="00DC0C0C">
        <w:trPr>
          <w:trHeight w:val="850"/>
          <w:jc w:val="center"/>
        </w:trPr>
        <w:tc>
          <w:tcPr>
            <w:tcW w:w="14312" w:type="dxa"/>
            <w:gridSpan w:val="4"/>
            <w:vAlign w:val="center"/>
          </w:tcPr>
          <w:p w14:paraId="317A324E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333333"/>
                <w:sz w:val="28"/>
                <w:szCs w:val="28"/>
              </w:rPr>
              <w:lastRenderedPageBreak/>
              <w:t>第四篇章：励志华章——成长梦想篇</w:t>
            </w:r>
          </w:p>
        </w:tc>
      </w:tr>
      <w:tr w:rsidR="007377E9" w14:paraId="4153E7E0" w14:textId="77777777" w:rsidTr="00DC0C0C">
        <w:trPr>
          <w:trHeight w:val="850"/>
          <w:jc w:val="center"/>
        </w:trPr>
        <w:tc>
          <w:tcPr>
            <w:tcW w:w="736" w:type="dxa"/>
            <w:vAlign w:val="center"/>
          </w:tcPr>
          <w:p w14:paraId="720D99C8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945" w:type="dxa"/>
            <w:vAlign w:val="center"/>
          </w:tcPr>
          <w:p w14:paraId="0ED17523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活动名称</w:t>
            </w:r>
          </w:p>
        </w:tc>
        <w:tc>
          <w:tcPr>
            <w:tcW w:w="3402" w:type="dxa"/>
            <w:vAlign w:val="center"/>
          </w:tcPr>
          <w:p w14:paraId="14876D59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承办单位</w:t>
            </w:r>
          </w:p>
        </w:tc>
        <w:tc>
          <w:tcPr>
            <w:tcW w:w="7229" w:type="dxa"/>
            <w:vAlign w:val="center"/>
          </w:tcPr>
          <w:p w14:paraId="2A7ABA90" w14:textId="77777777" w:rsidR="007377E9" w:rsidRDefault="007377E9" w:rsidP="00084D03">
            <w:pPr>
              <w:spacing w:after="160" w:line="52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24"/>
                <w:szCs w:val="24"/>
              </w:rPr>
              <w:t>活动简介</w:t>
            </w:r>
          </w:p>
        </w:tc>
      </w:tr>
      <w:tr w:rsidR="007377E9" w14:paraId="68520F6C" w14:textId="77777777" w:rsidTr="00DC0C0C">
        <w:trPr>
          <w:trHeight w:hRule="exact" w:val="1247"/>
          <w:jc w:val="center"/>
        </w:trPr>
        <w:tc>
          <w:tcPr>
            <w:tcW w:w="736" w:type="dxa"/>
            <w:vAlign w:val="center"/>
          </w:tcPr>
          <w:p w14:paraId="4AF353BE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14:paraId="73E071EB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“信念点亮人生，智慧规划人生”系列讲座</w:t>
            </w:r>
          </w:p>
        </w:tc>
        <w:tc>
          <w:tcPr>
            <w:tcW w:w="3402" w:type="dxa"/>
            <w:vAlign w:val="center"/>
          </w:tcPr>
          <w:p w14:paraId="047F32AB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毕业生就业指导服务中心</w:t>
            </w:r>
          </w:p>
        </w:tc>
        <w:tc>
          <w:tcPr>
            <w:tcW w:w="7229" w:type="dxa"/>
            <w:vAlign w:val="center"/>
          </w:tcPr>
          <w:p w14:paraId="1EC78BFC" w14:textId="77777777" w:rsidR="007377E9" w:rsidRDefault="007377E9" w:rsidP="00084D03">
            <w:pPr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以“信念点亮人生，智慧规划人生”为主题，开展系列职业生涯规划专题讲座，旨在提升大学生的职业规划能力，教会大学生职业生涯规划的方法，助力大学生健康成长成才。</w:t>
            </w:r>
          </w:p>
        </w:tc>
      </w:tr>
      <w:tr w:rsidR="007377E9" w14:paraId="3F6A99B7" w14:textId="77777777" w:rsidTr="00DC0C0C">
        <w:trPr>
          <w:trHeight w:hRule="exact" w:val="1572"/>
          <w:jc w:val="center"/>
        </w:trPr>
        <w:tc>
          <w:tcPr>
            <w:tcW w:w="736" w:type="dxa"/>
            <w:vAlign w:val="center"/>
          </w:tcPr>
          <w:p w14:paraId="2F268A03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45" w:type="dxa"/>
            <w:vAlign w:val="center"/>
          </w:tcPr>
          <w:p w14:paraId="74895E84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纪念马克思诞辰</w:t>
            </w:r>
            <w:r>
              <w:rPr>
                <w:rFonts w:ascii="仿宋" w:eastAsia="仿宋" w:hAnsi="仿宋"/>
                <w:sz w:val="24"/>
                <w:szCs w:val="24"/>
              </w:rPr>
              <w:t>200周年主题活动</w:t>
            </w:r>
          </w:p>
        </w:tc>
        <w:tc>
          <w:tcPr>
            <w:tcW w:w="3402" w:type="dxa"/>
            <w:vAlign w:val="center"/>
          </w:tcPr>
          <w:p w14:paraId="54FBEE74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大学生“马列”理论读书社</w:t>
            </w:r>
          </w:p>
        </w:tc>
        <w:tc>
          <w:tcPr>
            <w:tcW w:w="7229" w:type="dxa"/>
            <w:vAlign w:val="center"/>
          </w:tcPr>
          <w:p w14:paraId="5FF7C5C2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以纪念马克思诞辰200周年为契机，以“信仰的力量与自信的人生”为主题，通过举办系列读书沙龙、阅读分享会、主题朗诵会，带领青年学生回顾历史，坚定信念，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研习马克思主义理论，把个人的理想抱负与国家未来和民族复兴联系起来，把祖国的富强和民族的复兴作为人生奋斗的崇高目标。</w:t>
            </w:r>
          </w:p>
        </w:tc>
      </w:tr>
      <w:tr w:rsidR="007377E9" w14:paraId="41D88FC5" w14:textId="77777777" w:rsidTr="00DC0C0C">
        <w:trPr>
          <w:trHeight w:hRule="exact" w:val="1247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7797CD14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15A38309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“大学悦读</w:t>
            </w:r>
            <w:r>
              <w:rPr>
                <w:rFonts w:ascii="宋体" w:hAnsi="宋体" w:cs="仿宋" w:hint="eastAsia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阅读大学”</w:t>
            </w:r>
          </w:p>
          <w:p w14:paraId="3CE6B308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系列活动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96F0DAC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校学生会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46C8289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通过举办主题读书分享与交流、读书知识问答、师大朗读者、图书漂流等活动，营造当代大学生多读书、读好书的良好氛围，服务于书香校园建设，培养担当民族复兴大任的时代新人。</w:t>
            </w:r>
          </w:p>
        </w:tc>
      </w:tr>
      <w:tr w:rsidR="007377E9" w14:paraId="16154936" w14:textId="77777777" w:rsidTr="00DC0C0C">
        <w:trPr>
          <w:trHeight w:hRule="exact" w:val="1247"/>
          <w:jc w:val="center"/>
        </w:trPr>
        <w:tc>
          <w:tcPr>
            <w:tcW w:w="736" w:type="dxa"/>
            <w:vAlign w:val="center"/>
          </w:tcPr>
          <w:p w14:paraId="2C1055C7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945" w:type="dxa"/>
            <w:vAlign w:val="center"/>
          </w:tcPr>
          <w:p w14:paraId="09B78BA3" w14:textId="77777777" w:rsidR="007377E9" w:rsidRDefault="007377E9" w:rsidP="00084D03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“启夏杯”大学生辩论赛</w:t>
            </w:r>
          </w:p>
        </w:tc>
        <w:tc>
          <w:tcPr>
            <w:tcW w:w="3402" w:type="dxa"/>
            <w:vAlign w:val="center"/>
          </w:tcPr>
          <w:p w14:paraId="6174A59C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7229" w:type="dxa"/>
            <w:vAlign w:val="center"/>
          </w:tcPr>
          <w:p w14:paraId="530230C1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活动旨在通过辩论的形式，教育引导青年学生积极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培育和</w:t>
            </w:r>
            <w:proofErr w:type="gramStart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社会主义核心价值观，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提高口语表达、团队协作的能力，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为进一步丰富校园文化生活作贡献。</w:t>
            </w:r>
          </w:p>
        </w:tc>
      </w:tr>
      <w:tr w:rsidR="007377E9" w14:paraId="175474D9" w14:textId="77777777" w:rsidTr="00DC0C0C">
        <w:trPr>
          <w:trHeight w:hRule="exact" w:val="1247"/>
          <w:jc w:val="center"/>
        </w:trPr>
        <w:tc>
          <w:tcPr>
            <w:tcW w:w="736" w:type="dxa"/>
            <w:vAlign w:val="center"/>
          </w:tcPr>
          <w:p w14:paraId="49A66213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45" w:type="dxa"/>
            <w:vAlign w:val="center"/>
          </w:tcPr>
          <w:p w14:paraId="0F0D5B5B" w14:textId="77777777" w:rsidR="007377E9" w:rsidRDefault="007377E9" w:rsidP="00084D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挑战“华容道”之</w:t>
            </w:r>
          </w:p>
          <w:p w14:paraId="0E766D7B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数学趣味竞赛</w:t>
            </w:r>
          </w:p>
        </w:tc>
        <w:tc>
          <w:tcPr>
            <w:tcW w:w="3402" w:type="dxa"/>
            <w:vAlign w:val="center"/>
          </w:tcPr>
          <w:p w14:paraId="7052BCBB" w14:textId="77777777" w:rsidR="007377E9" w:rsidRDefault="007377E9" w:rsidP="00084D03">
            <w:pPr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7229" w:type="dxa"/>
            <w:vAlign w:val="center"/>
          </w:tcPr>
          <w:p w14:paraId="311F42DA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开展数学知识趣味竞赛，数学游戏大闯关，学科交叉猜字谜，数学之星评选等活动，在全校范围内进行数学文化交流扩展，增强当代大学生的学术宽度，锻炼逻辑思维，为当代青年大学生创造精致的数学学习交流平台。</w:t>
            </w:r>
          </w:p>
        </w:tc>
      </w:tr>
      <w:tr w:rsidR="007377E9" w14:paraId="62F1AB1E" w14:textId="77777777" w:rsidTr="00DC0C0C">
        <w:trPr>
          <w:trHeight w:hRule="exact" w:val="1247"/>
          <w:jc w:val="center"/>
        </w:trPr>
        <w:tc>
          <w:tcPr>
            <w:tcW w:w="736" w:type="dxa"/>
            <w:shd w:val="clear" w:color="auto" w:fill="FFFFFF"/>
            <w:vAlign w:val="center"/>
          </w:tcPr>
          <w:p w14:paraId="1E135F88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5" w:type="dxa"/>
            <w:shd w:val="clear" w:color="auto" w:fill="FFFFFF"/>
            <w:vAlign w:val="center"/>
          </w:tcPr>
          <w:p w14:paraId="6844AECF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美丽师大，‘游’我来讲</w:t>
            </w:r>
          </w:p>
          <w:p w14:paraId="2DF32333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校园导游大赛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9A39DC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地理科学与旅游学院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EAAA110" w14:textId="77777777" w:rsidR="007377E9" w:rsidRDefault="007377E9" w:rsidP="00084D03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举办校园讲解词大赛，校园导游大赛，从学生视角、学生体验出发，畅游师大美景，讲好师大故事、传播师大文化，在提高学生写作能力和口语表达的同时，积极营造“吾爱吾师”的良好氛围，使全校师生走进师大、了解师大、热爱师大。</w:t>
            </w:r>
          </w:p>
        </w:tc>
      </w:tr>
      <w:tr w:rsidR="007377E9" w14:paraId="57D3905B" w14:textId="77777777" w:rsidTr="00DC0C0C">
        <w:trPr>
          <w:trHeight w:hRule="exact" w:val="1247"/>
          <w:jc w:val="center"/>
        </w:trPr>
        <w:tc>
          <w:tcPr>
            <w:tcW w:w="736" w:type="dxa"/>
            <w:vAlign w:val="center"/>
          </w:tcPr>
          <w:p w14:paraId="6C3E829A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2945" w:type="dxa"/>
            <w:vAlign w:val="center"/>
          </w:tcPr>
          <w:p w14:paraId="35252C95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逐梦青春，‘职’争朝夕</w:t>
            </w:r>
          </w:p>
          <w:p w14:paraId="6E2C137D" w14:textId="77777777" w:rsidR="007377E9" w:rsidRDefault="007377E9" w:rsidP="00084D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—大学生模拟职业能力大赛</w:t>
            </w:r>
          </w:p>
        </w:tc>
        <w:tc>
          <w:tcPr>
            <w:tcW w:w="3402" w:type="dxa"/>
            <w:vAlign w:val="center"/>
          </w:tcPr>
          <w:p w14:paraId="2BF48791" w14:textId="77777777" w:rsidR="007377E9" w:rsidRDefault="007377E9" w:rsidP="00084D0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7229" w:type="dxa"/>
            <w:vAlign w:val="center"/>
          </w:tcPr>
          <w:p w14:paraId="5F01818B" w14:textId="77777777" w:rsidR="007377E9" w:rsidRPr="001A4557" w:rsidRDefault="007377E9" w:rsidP="00084D03">
            <w:pPr>
              <w:ind w:firstLineChars="100" w:firstLine="240"/>
              <w:rPr>
                <w:rFonts w:ascii="仿宋" w:eastAsia="仿宋" w:hAnsi="仿宋" w:cs="仿宋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通过举办</w:t>
            </w:r>
            <w:r w:rsidRPr="001A4557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简历制作大赛、</w:t>
            </w:r>
            <w:proofErr w:type="gramStart"/>
            <w:r w:rsidRPr="001A4557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职场知识</w:t>
            </w:r>
            <w:proofErr w:type="gramEnd"/>
            <w:r w:rsidRPr="001A4557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竞赛、模拟竞聘面试</w:t>
            </w:r>
            <w:r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等活动，旨在</w:t>
            </w:r>
            <w:r w:rsidRPr="001A4557">
              <w:rPr>
                <w:rFonts w:ascii="仿宋" w:eastAsia="仿宋" w:hAnsi="仿宋" w:cs="仿宋" w:hint="eastAsia"/>
                <w:color w:val="303030"/>
                <w:sz w:val="24"/>
                <w:szCs w:val="24"/>
                <w:shd w:val="clear" w:color="auto" w:fill="FFFFFF"/>
              </w:rPr>
              <w:t>引导青年学子参与就业竞聘实践，了解并掌握一定的竞聘知识，为开展就业创业打下坚实的基础。</w:t>
            </w:r>
          </w:p>
        </w:tc>
      </w:tr>
    </w:tbl>
    <w:p w14:paraId="5EE0F2F0" w14:textId="77777777" w:rsidR="00A84295" w:rsidRPr="007377E9" w:rsidRDefault="00A84295" w:rsidP="00C55434"/>
    <w:sectPr w:rsidR="00A84295" w:rsidRPr="007377E9" w:rsidSect="00C5543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499D" w14:textId="77777777" w:rsidR="00741B14" w:rsidRDefault="00741B14" w:rsidP="007377E9">
      <w:r>
        <w:separator/>
      </w:r>
    </w:p>
  </w:endnote>
  <w:endnote w:type="continuationSeparator" w:id="0">
    <w:p w14:paraId="154D2980" w14:textId="77777777" w:rsidR="00741B14" w:rsidRDefault="00741B14" w:rsidP="0073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714089"/>
      <w:docPartObj>
        <w:docPartGallery w:val="Page Numbers (Bottom of Page)"/>
        <w:docPartUnique/>
      </w:docPartObj>
    </w:sdtPr>
    <w:sdtEndPr/>
    <w:sdtContent>
      <w:p w14:paraId="53694B82" w14:textId="70B3AAA4" w:rsidR="00C55434" w:rsidRDefault="00C55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F107B5" w14:textId="77777777" w:rsidR="00E61C73" w:rsidRDefault="00741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D788" w14:textId="77777777" w:rsidR="00741B14" w:rsidRDefault="00741B14" w:rsidP="007377E9">
      <w:r>
        <w:separator/>
      </w:r>
    </w:p>
  </w:footnote>
  <w:footnote w:type="continuationSeparator" w:id="0">
    <w:p w14:paraId="5484B976" w14:textId="77777777" w:rsidR="00741B14" w:rsidRDefault="00741B14" w:rsidP="0073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51FC"/>
    <w:multiLevelType w:val="hybridMultilevel"/>
    <w:tmpl w:val="18409E34"/>
    <w:lvl w:ilvl="0" w:tplc="E1FC119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1"/>
    <w:rsid w:val="003F78D3"/>
    <w:rsid w:val="006F485E"/>
    <w:rsid w:val="007377E9"/>
    <w:rsid w:val="00741B14"/>
    <w:rsid w:val="0074468E"/>
    <w:rsid w:val="00802138"/>
    <w:rsid w:val="00A84295"/>
    <w:rsid w:val="00B97498"/>
    <w:rsid w:val="00C55434"/>
    <w:rsid w:val="00D35DB1"/>
    <w:rsid w:val="00DC0C0C"/>
    <w:rsid w:val="00E20D2A"/>
    <w:rsid w:val="00E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C87ED"/>
  <w15:chartTrackingRefBased/>
  <w15:docId w15:val="{4ED77EF6-FB00-4E49-B34B-10A5375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7E9"/>
    <w:rPr>
      <w:sz w:val="18"/>
      <w:szCs w:val="18"/>
    </w:rPr>
  </w:style>
  <w:style w:type="paragraph" w:styleId="HTML">
    <w:name w:val="HTML Preformatted"/>
    <w:basedOn w:val="a"/>
    <w:link w:val="HTML0"/>
    <w:rsid w:val="00737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7377E9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(Web)"/>
    <w:basedOn w:val="a"/>
    <w:rsid w:val="007377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rsid w:val="007377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77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刘炜</dc:creator>
  <cp:keywords/>
  <dc:description/>
  <cp:lastModifiedBy>刘炜</cp:lastModifiedBy>
  <cp:revision>7</cp:revision>
  <dcterms:created xsi:type="dcterms:W3CDTF">2018-05-02T08:37:00Z</dcterms:created>
  <dcterms:modified xsi:type="dcterms:W3CDTF">2018-05-02T09:12:00Z</dcterms:modified>
</cp:coreProperties>
</file>