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1" w:rsidRDefault="008A3E11" w:rsidP="008A3E11">
      <w:pPr>
        <w:widowControl/>
        <w:adjustRightInd w:val="0"/>
        <w:snapToGrid w:val="0"/>
        <w:spacing w:line="360" w:lineRule="auto"/>
        <w:jc w:val="center"/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</w:pPr>
      <w:r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附件3： 陕西师范大学第九届“挑战杯”创业计划竞赛复赛评审标准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1"/>
        <w:gridCol w:w="7095"/>
      </w:tblGrid>
      <w:tr w:rsidR="008A3E11" w:rsidTr="008A3E11">
        <w:trPr>
          <w:trHeight w:val="853"/>
          <w:jc w:val="center"/>
        </w:trPr>
        <w:tc>
          <w:tcPr>
            <w:tcW w:w="2191" w:type="dxa"/>
            <w:vMerge w:val="restart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创意与商业</w:t>
            </w:r>
          </w:p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模式构建</w:t>
            </w:r>
          </w:p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20分</w:t>
            </w: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参评方案选题新颖，有很大的创新之处（10分）</w:t>
            </w:r>
          </w:p>
        </w:tc>
      </w:tr>
      <w:tr w:rsidR="008A3E11" w:rsidTr="008A3E11">
        <w:trPr>
          <w:trHeight w:val="747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商业模式构建合理、科学，具有实际应用、投资的价值（10分）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 w:val="restart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创业理念、概述与</w:t>
            </w:r>
          </w:p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产品/服务设计</w:t>
            </w:r>
          </w:p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20分</w:t>
            </w: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公司概述：对企业的定位科学、准确，有一定的专业知识，较强的可行性、较高的投资价值，公司经营内容及理念突出（10分）</w:t>
            </w:r>
          </w:p>
        </w:tc>
      </w:tr>
      <w:tr w:rsidR="008A3E11" w:rsidTr="008A3E11">
        <w:trPr>
          <w:trHeight w:val="734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产品/服务：突显创意，市场前景明朗（10分）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 w:val="restart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方案设计内容</w:t>
            </w:r>
          </w:p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30分</w:t>
            </w: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市场及竞争分析：对市场的分析准确并有独到见解，能发现市场潜在的需求，能客观分析市场的竞争对手，并能采取有效的、合理、合法的应对措施（10分）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营销战略：新颖可行，能应对企业发展不同时期的各种情况，且效果显著（5分）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经营管理：能掌握并熟知本团队经营管理的特点，组织构建合理，管理有效，并能形成高效的组织文化（5分）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组织结构：组织结构严谨、合理，企业完整，各职能部门健全，能保持高速运转（5分）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财务分析：能体现较高的专业知识，不同经营时期的经济/财务状况均清晰明了（5分）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 w:val="restart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答辩环节</w:t>
            </w:r>
          </w:p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</w:rPr>
              <w:t>30分</w:t>
            </w: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陈述及问答逻辑性强，团队成员配合得当，在规定时间内完成（10分）</w:t>
            </w:r>
          </w:p>
        </w:tc>
      </w:tr>
      <w:tr w:rsidR="008A3E11" w:rsidTr="008A3E11">
        <w:trPr>
          <w:trHeight w:val="340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PPT演示文档能够充分展现作品的特色，美观大方，布局合理，层次清晰（10分）</w:t>
            </w:r>
          </w:p>
        </w:tc>
      </w:tr>
      <w:tr w:rsidR="008A3E11" w:rsidTr="008A3E11">
        <w:trPr>
          <w:trHeight w:val="772"/>
          <w:jc w:val="center"/>
        </w:trPr>
        <w:tc>
          <w:tcPr>
            <w:tcW w:w="2191" w:type="dxa"/>
            <w:vMerge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4"/>
              </w:rPr>
            </w:pPr>
          </w:p>
        </w:tc>
        <w:tc>
          <w:tcPr>
            <w:tcW w:w="7095" w:type="dxa"/>
            <w:vAlign w:val="center"/>
          </w:tcPr>
          <w:p w:rsidR="008A3E11" w:rsidRDefault="008A3E11" w:rsidP="003D33E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创业计划书逻辑合理、表述清晰（10分）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45" w:rsidRDefault="00983C45" w:rsidP="008A3E11">
      <w:r>
        <w:separator/>
      </w:r>
    </w:p>
  </w:endnote>
  <w:endnote w:type="continuationSeparator" w:id="0">
    <w:p w:rsidR="00983C45" w:rsidRDefault="00983C45" w:rsidP="008A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45" w:rsidRDefault="00983C45" w:rsidP="008A3E11">
      <w:r>
        <w:separator/>
      </w:r>
    </w:p>
  </w:footnote>
  <w:footnote w:type="continuationSeparator" w:id="0">
    <w:p w:rsidR="00983C45" w:rsidRDefault="00983C45" w:rsidP="008A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608B4"/>
    <w:rsid w:val="008A3E11"/>
    <w:rsid w:val="008B7726"/>
    <w:rsid w:val="00983C4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1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E1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E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E1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E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2014-03-13T07:36:00Z</dcterms:modified>
</cp:coreProperties>
</file>